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DCD0B">
      <w:pPr>
        <w:snapToGrid w:val="0"/>
        <w:spacing w:line="360" w:lineRule="auto"/>
        <w:ind w:right="2" w:rightChars="1"/>
        <w:jc w:val="center"/>
        <w:rPr>
          <w:rFonts w:hint="eastAsia" w:ascii="宋体" w:hAnsi="宋体"/>
          <w:b/>
          <w:sz w:val="36"/>
          <w:szCs w:val="36"/>
        </w:rPr>
      </w:pPr>
      <w:bookmarkStart w:id="0" w:name="_GoBack"/>
      <w:bookmarkEnd w:id="0"/>
    </w:p>
    <w:p w14:paraId="3088E996">
      <w:pPr>
        <w:rPr>
          <w:rFonts w:hint="eastAsia" w:ascii="仿宋_GB2312" w:eastAsia="仿宋_GB2312"/>
          <w:b/>
          <w:sz w:val="28"/>
          <w:szCs w:val="28"/>
        </w:rPr>
      </w:pPr>
      <w:r>
        <w:rPr>
          <w:rFonts w:hint="eastAsia" w:ascii="仿宋_GB2312" w:eastAsia="仿宋_GB2312"/>
          <w:b/>
          <w:sz w:val="28"/>
          <w:szCs w:val="28"/>
        </w:rPr>
        <w:t>附件三：</w:t>
      </w:r>
    </w:p>
    <w:tbl>
      <w:tblPr>
        <w:tblStyle w:val="4"/>
        <w:tblW w:w="0" w:type="auto"/>
        <w:tblInd w:w="91" w:type="dxa"/>
        <w:tblLayout w:type="fixed"/>
        <w:tblCellMar>
          <w:top w:w="0" w:type="dxa"/>
          <w:left w:w="108" w:type="dxa"/>
          <w:bottom w:w="0" w:type="dxa"/>
          <w:right w:w="108" w:type="dxa"/>
        </w:tblCellMar>
      </w:tblPr>
      <w:tblGrid>
        <w:gridCol w:w="1872"/>
        <w:gridCol w:w="2434"/>
        <w:gridCol w:w="2351"/>
        <w:gridCol w:w="1943"/>
      </w:tblGrid>
      <w:tr w14:paraId="3A725E7E">
        <w:tblPrEx>
          <w:tblCellMar>
            <w:top w:w="0" w:type="dxa"/>
            <w:left w:w="108" w:type="dxa"/>
            <w:bottom w:w="0" w:type="dxa"/>
            <w:right w:w="108" w:type="dxa"/>
          </w:tblCellMar>
        </w:tblPrEx>
        <w:trPr>
          <w:trHeight w:val="405" w:hRule="atLeast"/>
        </w:trPr>
        <w:tc>
          <w:tcPr>
            <w:tcW w:w="8600" w:type="dxa"/>
            <w:gridSpan w:val="4"/>
            <w:tcBorders>
              <w:top w:val="nil"/>
              <w:left w:val="nil"/>
              <w:bottom w:val="single" w:color="auto" w:sz="4" w:space="0"/>
              <w:right w:val="nil"/>
            </w:tcBorders>
            <w:noWrap w:val="0"/>
            <w:vAlign w:val="bottom"/>
          </w:tcPr>
          <w:p w14:paraId="54410595">
            <w:pPr>
              <w:widowControl/>
              <w:jc w:val="center"/>
              <w:textAlignment w:val="baseline"/>
              <w:rPr>
                <w:rFonts w:hint="eastAsia" w:ascii="仿宋_GB2312" w:hAnsi="宋体" w:eastAsia="仿宋_GB2312" w:cs="宋体"/>
                <w:b/>
                <w:bCs/>
                <w:sz w:val="28"/>
                <w:szCs w:val="28"/>
                <w:lang w:eastAsia="zh-CN"/>
              </w:rPr>
            </w:pPr>
            <w:r>
              <w:rPr>
                <w:rFonts w:hint="eastAsia" w:ascii="仿宋_GB2312" w:hAnsi="宋体" w:eastAsia="仿宋_GB2312" w:cs="宋体"/>
                <w:b/>
                <w:bCs/>
                <w:sz w:val="28"/>
                <w:szCs w:val="28"/>
                <w:lang w:eastAsia="zh-CN"/>
              </w:rPr>
              <w:t>重载自适应辊轮自动纠偏装置\SG1200/REV-V2</w:t>
            </w:r>
          </w:p>
          <w:p w14:paraId="3B8F75AF">
            <w:pPr>
              <w:widowControl/>
              <w:jc w:val="center"/>
              <w:textAlignment w:val="baseline"/>
              <w:rPr>
                <w:rFonts w:hint="eastAsia" w:ascii="仿宋_GB2312" w:hAnsi="宋体" w:eastAsia="仿宋_GB2312" w:cs="宋体"/>
                <w:b/>
                <w:bCs/>
                <w:sz w:val="28"/>
                <w:szCs w:val="28"/>
                <w:lang w:eastAsia="zh-CN"/>
              </w:rPr>
            </w:pPr>
            <w:r>
              <w:rPr>
                <w:rFonts w:hint="eastAsia" w:ascii="仿宋_GB2312" w:hAnsi="宋体" w:eastAsia="仿宋_GB2312" w:cs="宋体"/>
                <w:b/>
                <w:bCs/>
                <w:sz w:val="28"/>
                <w:szCs w:val="28"/>
                <w:lang w:eastAsia="zh-CN"/>
              </w:rPr>
              <w:t>重载自适应辊轮自动纠偏装置\SG1200/TRT-C2</w:t>
            </w:r>
          </w:p>
          <w:p w14:paraId="4755FA04">
            <w:pPr>
              <w:widowControl/>
              <w:jc w:val="center"/>
              <w:textAlignment w:val="baseline"/>
              <w:rPr>
                <w:rFonts w:hint="eastAsia" w:ascii="仿宋_GB2312" w:hAnsi="宋体" w:eastAsia="仿宋_GB2312" w:cs="宋体"/>
                <w:b/>
                <w:bCs/>
                <w:sz w:val="28"/>
                <w:szCs w:val="28"/>
                <w:lang w:eastAsia="zh-CN"/>
              </w:rPr>
            </w:pPr>
            <w:r>
              <w:rPr>
                <w:rFonts w:hint="eastAsia" w:ascii="仿宋_GB2312" w:hAnsi="宋体" w:eastAsia="仿宋_GB2312" w:cs="宋体"/>
                <w:b/>
                <w:bCs/>
                <w:sz w:val="28"/>
                <w:szCs w:val="28"/>
                <w:lang w:eastAsia="zh-CN"/>
              </w:rPr>
              <w:t>采购技术规格书</w:t>
            </w:r>
          </w:p>
          <w:p w14:paraId="175F65C4">
            <w:pPr>
              <w:widowControl/>
              <w:jc w:val="center"/>
              <w:textAlignment w:val="baseline"/>
              <w:rPr>
                <w:rFonts w:ascii="仿宋_GB2312" w:hAnsi="宋体" w:eastAsia="仿宋_GB2312" w:cs="宋体"/>
                <w:b/>
                <w:bCs/>
                <w:sz w:val="32"/>
                <w:szCs w:val="32"/>
              </w:rPr>
            </w:pPr>
            <w:r>
              <w:rPr>
                <w:rFonts w:hint="eastAsia" w:ascii="仿宋_GB2312" w:hAnsi="宋体" w:eastAsia="仿宋_GB2312" w:cs="宋体"/>
                <w:b/>
                <w:bCs/>
                <w:sz w:val="28"/>
                <w:szCs w:val="28"/>
                <w:lang w:eastAsia="zh-CN"/>
              </w:rPr>
              <w:t>审核会签单</w:t>
            </w:r>
          </w:p>
        </w:tc>
      </w:tr>
      <w:tr w14:paraId="5D99B8A4">
        <w:tblPrEx>
          <w:tblCellMar>
            <w:top w:w="0" w:type="dxa"/>
            <w:left w:w="108" w:type="dxa"/>
            <w:bottom w:w="0" w:type="dxa"/>
            <w:right w:w="108" w:type="dxa"/>
          </w:tblCellMar>
        </w:tblPrEx>
        <w:trPr>
          <w:trHeight w:val="285" w:hRule="atLeast"/>
        </w:trPr>
        <w:tc>
          <w:tcPr>
            <w:tcW w:w="1872" w:type="dxa"/>
            <w:tcBorders>
              <w:top w:val="nil"/>
              <w:left w:val="single" w:color="auto" w:sz="4" w:space="0"/>
              <w:bottom w:val="single" w:color="auto" w:sz="4" w:space="0"/>
              <w:right w:val="single" w:color="auto" w:sz="4" w:space="0"/>
            </w:tcBorders>
            <w:noWrap w:val="0"/>
            <w:vAlign w:val="bottom"/>
          </w:tcPr>
          <w:p w14:paraId="1C2AF42F">
            <w:pPr>
              <w:widowControl/>
              <w:jc w:val="center"/>
              <w:rPr>
                <w:rFonts w:ascii="仿宋_GB2312" w:hAnsi="宋体" w:eastAsia="仿宋_GB2312" w:cs="宋体"/>
                <w:szCs w:val="24"/>
              </w:rPr>
            </w:pPr>
            <w:r>
              <w:rPr>
                <w:rFonts w:hint="eastAsia" w:ascii="仿宋_GB2312" w:hAnsi="宋体" w:eastAsia="仿宋_GB2312" w:cs="宋体"/>
              </w:rPr>
              <w:t>　</w:t>
            </w:r>
          </w:p>
        </w:tc>
        <w:tc>
          <w:tcPr>
            <w:tcW w:w="2434" w:type="dxa"/>
            <w:tcBorders>
              <w:top w:val="nil"/>
              <w:left w:val="nil"/>
              <w:bottom w:val="single" w:color="auto" w:sz="4" w:space="0"/>
              <w:right w:val="single" w:color="auto" w:sz="4" w:space="0"/>
            </w:tcBorders>
            <w:noWrap w:val="0"/>
            <w:vAlign w:val="bottom"/>
          </w:tcPr>
          <w:p w14:paraId="30B82C19">
            <w:pPr>
              <w:widowControl/>
              <w:jc w:val="center"/>
              <w:rPr>
                <w:rFonts w:ascii="仿宋_GB2312" w:hAnsi="宋体" w:eastAsia="仿宋_GB2312" w:cs="宋体"/>
                <w:szCs w:val="24"/>
              </w:rPr>
            </w:pPr>
            <w:r>
              <w:rPr>
                <w:rFonts w:hint="eastAsia" w:ascii="仿宋_GB2312" w:hAnsi="宋体" w:eastAsia="仿宋_GB2312" w:cs="宋体"/>
              </w:rPr>
              <w:t>选矿保障作业区</w:t>
            </w:r>
          </w:p>
        </w:tc>
        <w:tc>
          <w:tcPr>
            <w:tcW w:w="2351" w:type="dxa"/>
            <w:tcBorders>
              <w:top w:val="nil"/>
              <w:left w:val="nil"/>
              <w:bottom w:val="single" w:color="auto" w:sz="4" w:space="0"/>
              <w:right w:val="single" w:color="auto" w:sz="4" w:space="0"/>
            </w:tcBorders>
            <w:noWrap w:val="0"/>
            <w:vAlign w:val="bottom"/>
          </w:tcPr>
          <w:p w14:paraId="20736F30">
            <w:pPr>
              <w:widowControl/>
              <w:jc w:val="center"/>
              <w:rPr>
                <w:rFonts w:ascii="仿宋_GB2312" w:hAnsi="宋体" w:eastAsia="仿宋_GB2312" w:cs="宋体"/>
                <w:szCs w:val="24"/>
              </w:rPr>
            </w:pPr>
            <w:r>
              <w:rPr>
                <w:rFonts w:hint="eastAsia" w:ascii="仿宋_GB2312" w:hAnsi="宋体" w:eastAsia="仿宋_GB2312" w:cs="宋体"/>
              </w:rPr>
              <w:t>生产技术科</w:t>
            </w:r>
          </w:p>
        </w:tc>
        <w:tc>
          <w:tcPr>
            <w:tcW w:w="1943" w:type="dxa"/>
            <w:tcBorders>
              <w:top w:val="nil"/>
              <w:left w:val="nil"/>
              <w:bottom w:val="single" w:color="auto" w:sz="4" w:space="0"/>
              <w:right w:val="single" w:color="auto" w:sz="4" w:space="0"/>
            </w:tcBorders>
            <w:noWrap w:val="0"/>
            <w:vAlign w:val="bottom"/>
          </w:tcPr>
          <w:p w14:paraId="44B25C2F">
            <w:pPr>
              <w:widowControl/>
              <w:jc w:val="center"/>
              <w:rPr>
                <w:rFonts w:ascii="仿宋_GB2312" w:hAnsi="宋体" w:eastAsia="仿宋_GB2312" w:cs="宋体"/>
                <w:szCs w:val="24"/>
              </w:rPr>
            </w:pPr>
            <w:r>
              <w:rPr>
                <w:rFonts w:hint="eastAsia" w:ascii="仿宋_GB2312" w:hAnsi="宋体" w:eastAsia="仿宋_GB2312" w:cs="宋体"/>
              </w:rPr>
              <w:t>设备科</w:t>
            </w:r>
          </w:p>
        </w:tc>
      </w:tr>
      <w:tr w14:paraId="0C8B03DF">
        <w:tblPrEx>
          <w:tblCellMar>
            <w:top w:w="0" w:type="dxa"/>
            <w:left w:w="108" w:type="dxa"/>
            <w:bottom w:w="0" w:type="dxa"/>
            <w:right w:w="108" w:type="dxa"/>
          </w:tblCellMar>
        </w:tblPrEx>
        <w:trPr>
          <w:trHeight w:val="2926" w:hRule="atLeast"/>
        </w:trPr>
        <w:tc>
          <w:tcPr>
            <w:tcW w:w="1872" w:type="dxa"/>
            <w:tcBorders>
              <w:top w:val="nil"/>
              <w:left w:val="single" w:color="auto" w:sz="4" w:space="0"/>
              <w:bottom w:val="single" w:color="auto" w:sz="4" w:space="0"/>
              <w:right w:val="single" w:color="auto" w:sz="4" w:space="0"/>
            </w:tcBorders>
            <w:noWrap w:val="0"/>
            <w:vAlign w:val="center"/>
          </w:tcPr>
          <w:p w14:paraId="465B02DE">
            <w:pPr>
              <w:widowControl/>
              <w:jc w:val="center"/>
              <w:rPr>
                <w:rFonts w:ascii="仿宋_GB2312" w:hAnsi="宋体" w:eastAsia="仿宋_GB2312" w:cs="宋体"/>
                <w:szCs w:val="24"/>
              </w:rPr>
            </w:pPr>
            <w:r>
              <w:rPr>
                <w:rFonts w:hint="eastAsia" w:ascii="仿宋_GB2312" w:hAnsi="宋体" w:eastAsia="仿宋_GB2312" w:cs="宋体"/>
              </w:rPr>
              <w:t>协理工程师</w:t>
            </w:r>
          </w:p>
        </w:tc>
        <w:tc>
          <w:tcPr>
            <w:tcW w:w="2434" w:type="dxa"/>
            <w:tcBorders>
              <w:top w:val="nil"/>
              <w:left w:val="nil"/>
              <w:bottom w:val="nil"/>
              <w:right w:val="single" w:color="auto" w:sz="4" w:space="0"/>
            </w:tcBorders>
            <w:noWrap w:val="0"/>
            <w:vAlign w:val="center"/>
          </w:tcPr>
          <w:p w14:paraId="63131354">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2351" w:type="dxa"/>
            <w:tcBorders>
              <w:top w:val="nil"/>
              <w:left w:val="nil"/>
              <w:bottom w:val="nil"/>
              <w:right w:val="single" w:color="auto" w:sz="4" w:space="0"/>
            </w:tcBorders>
            <w:noWrap w:val="0"/>
            <w:vAlign w:val="center"/>
          </w:tcPr>
          <w:p w14:paraId="45EC2753">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1943" w:type="dxa"/>
            <w:tcBorders>
              <w:top w:val="nil"/>
              <w:left w:val="nil"/>
              <w:bottom w:val="nil"/>
              <w:right w:val="single" w:color="auto" w:sz="4" w:space="0"/>
            </w:tcBorders>
            <w:noWrap w:val="0"/>
            <w:vAlign w:val="center"/>
          </w:tcPr>
          <w:p w14:paraId="593EDEA2">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r>
      <w:tr w14:paraId="46C3922F">
        <w:tblPrEx>
          <w:tblCellMar>
            <w:top w:w="0" w:type="dxa"/>
            <w:left w:w="108" w:type="dxa"/>
            <w:bottom w:w="0" w:type="dxa"/>
            <w:right w:w="108" w:type="dxa"/>
          </w:tblCellMar>
        </w:tblPrEx>
        <w:trPr>
          <w:trHeight w:val="2964" w:hRule="atLeast"/>
        </w:trPr>
        <w:tc>
          <w:tcPr>
            <w:tcW w:w="1872" w:type="dxa"/>
            <w:tcBorders>
              <w:top w:val="nil"/>
              <w:left w:val="single" w:color="auto" w:sz="4" w:space="0"/>
              <w:bottom w:val="single" w:color="auto" w:sz="4" w:space="0"/>
              <w:right w:val="single" w:color="auto" w:sz="4" w:space="0"/>
            </w:tcBorders>
            <w:noWrap w:val="0"/>
            <w:vAlign w:val="center"/>
          </w:tcPr>
          <w:p w14:paraId="2CA55432">
            <w:pPr>
              <w:widowControl/>
              <w:jc w:val="center"/>
              <w:rPr>
                <w:rFonts w:ascii="仿宋_GB2312" w:hAnsi="宋体" w:eastAsia="仿宋_GB2312" w:cs="宋体"/>
                <w:szCs w:val="24"/>
              </w:rPr>
            </w:pPr>
            <w:r>
              <w:rPr>
                <w:rFonts w:hint="eastAsia" w:ascii="仿宋_GB2312" w:hAnsi="宋体" w:eastAsia="仿宋_GB2312" w:cs="宋体"/>
              </w:rPr>
              <w:t>责任工程师</w:t>
            </w:r>
          </w:p>
        </w:tc>
        <w:tc>
          <w:tcPr>
            <w:tcW w:w="2434" w:type="dxa"/>
            <w:tcBorders>
              <w:top w:val="single" w:color="auto" w:sz="4" w:space="0"/>
              <w:left w:val="nil"/>
              <w:bottom w:val="nil"/>
              <w:right w:val="single" w:color="auto" w:sz="4" w:space="0"/>
            </w:tcBorders>
            <w:noWrap w:val="0"/>
            <w:vAlign w:val="center"/>
          </w:tcPr>
          <w:p w14:paraId="7C43117C">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2351" w:type="dxa"/>
            <w:tcBorders>
              <w:top w:val="single" w:color="auto" w:sz="4" w:space="0"/>
              <w:left w:val="nil"/>
              <w:bottom w:val="nil"/>
              <w:right w:val="single" w:color="auto" w:sz="4" w:space="0"/>
            </w:tcBorders>
            <w:noWrap w:val="0"/>
            <w:vAlign w:val="center"/>
          </w:tcPr>
          <w:p w14:paraId="112E9087">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1943" w:type="dxa"/>
            <w:tcBorders>
              <w:top w:val="single" w:color="auto" w:sz="4" w:space="0"/>
              <w:left w:val="nil"/>
              <w:bottom w:val="nil"/>
              <w:right w:val="single" w:color="auto" w:sz="4" w:space="0"/>
            </w:tcBorders>
            <w:noWrap w:val="0"/>
            <w:vAlign w:val="center"/>
          </w:tcPr>
          <w:p w14:paraId="7C23F206">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r>
      <w:tr w14:paraId="5FED735C">
        <w:tblPrEx>
          <w:tblCellMar>
            <w:top w:w="0" w:type="dxa"/>
            <w:left w:w="108" w:type="dxa"/>
            <w:bottom w:w="0" w:type="dxa"/>
            <w:right w:w="108" w:type="dxa"/>
          </w:tblCellMar>
        </w:tblPrEx>
        <w:trPr>
          <w:trHeight w:val="3088" w:hRule="atLeast"/>
        </w:trPr>
        <w:tc>
          <w:tcPr>
            <w:tcW w:w="1872" w:type="dxa"/>
            <w:tcBorders>
              <w:top w:val="nil"/>
              <w:left w:val="single" w:color="auto" w:sz="4" w:space="0"/>
              <w:bottom w:val="single" w:color="auto" w:sz="4" w:space="0"/>
              <w:right w:val="single" w:color="auto" w:sz="4" w:space="0"/>
            </w:tcBorders>
            <w:noWrap w:val="0"/>
            <w:vAlign w:val="center"/>
          </w:tcPr>
          <w:p w14:paraId="7EB42F6B">
            <w:pPr>
              <w:widowControl/>
              <w:jc w:val="center"/>
              <w:rPr>
                <w:rFonts w:ascii="仿宋_GB2312" w:hAnsi="宋体" w:eastAsia="仿宋_GB2312" w:cs="宋体"/>
                <w:szCs w:val="24"/>
              </w:rPr>
            </w:pPr>
            <w:r>
              <w:rPr>
                <w:rFonts w:hint="eastAsia" w:ascii="仿宋_GB2312" w:hAnsi="宋体" w:eastAsia="仿宋_GB2312" w:cs="宋体"/>
              </w:rPr>
              <w:t>主任工程师</w:t>
            </w:r>
          </w:p>
        </w:tc>
        <w:tc>
          <w:tcPr>
            <w:tcW w:w="2434" w:type="dxa"/>
            <w:tcBorders>
              <w:top w:val="single" w:color="auto" w:sz="4" w:space="0"/>
              <w:left w:val="nil"/>
              <w:bottom w:val="nil"/>
              <w:right w:val="single" w:color="auto" w:sz="4" w:space="0"/>
            </w:tcBorders>
            <w:noWrap w:val="0"/>
            <w:vAlign w:val="center"/>
          </w:tcPr>
          <w:p w14:paraId="69174E6F">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2351" w:type="dxa"/>
            <w:tcBorders>
              <w:top w:val="single" w:color="auto" w:sz="4" w:space="0"/>
              <w:left w:val="nil"/>
              <w:bottom w:val="nil"/>
              <w:right w:val="single" w:color="auto" w:sz="4" w:space="0"/>
            </w:tcBorders>
            <w:noWrap w:val="0"/>
            <w:vAlign w:val="center"/>
          </w:tcPr>
          <w:p w14:paraId="6310ED0D">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c>
          <w:tcPr>
            <w:tcW w:w="1943" w:type="dxa"/>
            <w:tcBorders>
              <w:top w:val="single" w:color="auto" w:sz="4" w:space="0"/>
              <w:left w:val="nil"/>
              <w:bottom w:val="nil"/>
              <w:right w:val="single" w:color="auto" w:sz="4" w:space="0"/>
            </w:tcBorders>
            <w:noWrap w:val="0"/>
            <w:vAlign w:val="center"/>
          </w:tcPr>
          <w:p w14:paraId="0B490A87">
            <w:pPr>
              <w:widowControl/>
              <w:jc w:val="both"/>
              <w:rPr>
                <w:rFonts w:ascii="仿宋_GB2312" w:hAnsi="宋体" w:eastAsia="仿宋_GB2312" w:cs="宋体"/>
                <w:szCs w:val="24"/>
              </w:rPr>
            </w:pPr>
            <w:r>
              <w:rPr>
                <w:rFonts w:hint="eastAsia" w:ascii="仿宋_GB2312" w:hAnsi="宋体" w:eastAsia="仿宋_GB2312" w:cs="宋体"/>
              </w:rPr>
              <w:t>意见：</w:t>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br w:type="textWrapping"/>
            </w:r>
            <w:r>
              <w:rPr>
                <w:rFonts w:hint="eastAsia" w:ascii="仿宋_GB2312" w:hAnsi="宋体" w:eastAsia="仿宋_GB2312" w:cs="宋体"/>
              </w:rPr>
              <w:t xml:space="preserve">     签字</w:t>
            </w:r>
          </w:p>
        </w:tc>
      </w:tr>
      <w:tr w14:paraId="57A47444">
        <w:tblPrEx>
          <w:tblCellMar>
            <w:top w:w="0" w:type="dxa"/>
            <w:left w:w="108" w:type="dxa"/>
            <w:bottom w:w="0" w:type="dxa"/>
            <w:right w:w="108" w:type="dxa"/>
          </w:tblCellMar>
        </w:tblPrEx>
        <w:trPr>
          <w:trHeight w:val="1017" w:hRule="atLeast"/>
        </w:trPr>
        <w:tc>
          <w:tcPr>
            <w:tcW w:w="1872" w:type="dxa"/>
            <w:tcBorders>
              <w:top w:val="nil"/>
              <w:left w:val="single" w:color="auto" w:sz="4" w:space="0"/>
              <w:bottom w:val="single" w:color="auto" w:sz="4" w:space="0"/>
              <w:right w:val="single" w:color="auto" w:sz="4" w:space="0"/>
            </w:tcBorders>
            <w:noWrap w:val="0"/>
            <w:vAlign w:val="center"/>
          </w:tcPr>
          <w:p w14:paraId="5A7E435F">
            <w:pPr>
              <w:widowControl/>
              <w:jc w:val="center"/>
              <w:rPr>
                <w:rFonts w:ascii="仿宋_GB2312" w:hAnsi="宋体" w:eastAsia="仿宋_GB2312" w:cs="宋体"/>
                <w:szCs w:val="24"/>
              </w:rPr>
            </w:pPr>
            <w:r>
              <w:rPr>
                <w:rFonts w:hint="eastAsia" w:ascii="仿宋_GB2312" w:hAnsi="宋体" w:eastAsia="仿宋_GB2312" w:cs="宋体"/>
              </w:rPr>
              <w:t>备注</w:t>
            </w:r>
          </w:p>
        </w:tc>
        <w:tc>
          <w:tcPr>
            <w:tcW w:w="6728" w:type="dxa"/>
            <w:gridSpan w:val="3"/>
            <w:tcBorders>
              <w:top w:val="single" w:color="auto" w:sz="4" w:space="0"/>
              <w:left w:val="nil"/>
              <w:bottom w:val="single" w:color="auto" w:sz="4" w:space="0"/>
              <w:right w:val="single" w:color="auto" w:sz="4" w:space="0"/>
            </w:tcBorders>
            <w:noWrap w:val="0"/>
            <w:vAlign w:val="top"/>
          </w:tcPr>
          <w:p w14:paraId="50CC82A8">
            <w:pPr>
              <w:widowControl/>
              <w:jc w:val="both"/>
              <w:rPr>
                <w:rFonts w:ascii="仿宋_GB2312" w:hAnsi="宋体" w:eastAsia="仿宋_GB2312" w:cs="宋体"/>
                <w:szCs w:val="24"/>
              </w:rPr>
            </w:pPr>
            <w:r>
              <w:rPr>
                <w:rFonts w:hint="eastAsia" w:ascii="仿宋_GB2312" w:hAnsi="宋体" w:eastAsia="仿宋_GB2312" w:cs="宋体"/>
              </w:rPr>
              <w:t>记录：</w:t>
            </w:r>
          </w:p>
        </w:tc>
      </w:tr>
    </w:tbl>
    <w:p w14:paraId="2C740802">
      <w:pPr>
        <w:widowControl/>
        <w:rPr>
          <w:rFonts w:hint="eastAsia" w:ascii="仿宋_GB2312" w:hAnsi="宋体" w:eastAsia="仿宋_GB2312" w:cs="宋体"/>
        </w:rPr>
      </w:pPr>
    </w:p>
    <w:p w14:paraId="0755B335">
      <w:pPr>
        <w:widowControl/>
        <w:rPr>
          <w:rFonts w:hint="eastAsia" w:ascii="仿宋_GB2312" w:hAnsi="宋体" w:eastAsia="仿宋_GB2312" w:cs="宋体"/>
        </w:rPr>
      </w:pPr>
      <w:r>
        <w:rPr>
          <w:rFonts w:hint="eastAsia" w:ascii="仿宋_GB2312" w:hAnsi="宋体" w:eastAsia="仿宋_GB2312" w:cs="宋体"/>
        </w:rPr>
        <w:t>备注：</w:t>
      </w:r>
    </w:p>
    <w:p w14:paraId="27879538">
      <w:pPr>
        <w:widowControl/>
        <w:rPr>
          <w:rFonts w:hint="eastAsia" w:ascii="宋体" w:hAnsi="宋体"/>
          <w:b/>
          <w:sz w:val="36"/>
          <w:szCs w:val="36"/>
        </w:rPr>
      </w:pPr>
      <w:r>
        <w:rPr>
          <w:rFonts w:hint="eastAsia" w:ascii="仿宋_GB2312" w:hAnsi="宋体" w:eastAsia="仿宋_GB2312" w:cs="宋体"/>
        </w:rPr>
        <w:t>审核人员若对</w:t>
      </w:r>
      <w:r>
        <w:rPr>
          <w:rFonts w:hint="eastAsia" w:ascii="仿宋_GB2312" w:hAnsi="宋体" w:eastAsia="仿宋_GB2312" w:cs="宋体"/>
          <w:lang w:eastAsia="zh-CN"/>
        </w:rPr>
        <w:t>技术规格书</w:t>
      </w:r>
      <w:r>
        <w:rPr>
          <w:rFonts w:hint="eastAsia" w:ascii="仿宋_GB2312" w:hAnsi="宋体" w:eastAsia="仿宋_GB2312" w:cs="宋体"/>
        </w:rPr>
        <w:t>文本有修改意见，在会签意见栏中说明，否则填写“同意”。</w:t>
      </w:r>
    </w:p>
    <w:p w14:paraId="1B228AF8">
      <w:pPr>
        <w:snapToGrid w:val="0"/>
        <w:spacing w:line="360" w:lineRule="auto"/>
        <w:ind w:right="2" w:rightChars="1"/>
        <w:jc w:val="center"/>
        <w:rPr>
          <w:rFonts w:hint="eastAsia" w:ascii="宋体" w:hAnsi="宋体"/>
          <w:sz w:val="36"/>
          <w:szCs w:val="36"/>
        </w:rPr>
      </w:pPr>
    </w:p>
    <w:p w14:paraId="19C8F383">
      <w:pPr>
        <w:snapToGrid w:val="0"/>
        <w:spacing w:line="360" w:lineRule="auto"/>
        <w:ind w:right="2" w:rightChars="1"/>
        <w:jc w:val="center"/>
        <w:rPr>
          <w:rFonts w:hint="eastAsia" w:ascii="宋体" w:hAnsi="宋体"/>
          <w:sz w:val="36"/>
          <w:szCs w:val="36"/>
        </w:rPr>
      </w:pPr>
    </w:p>
    <w:p w14:paraId="12F7A56A">
      <w:pPr>
        <w:snapToGrid w:val="0"/>
        <w:spacing w:line="360" w:lineRule="auto"/>
        <w:ind w:right="2" w:rightChars="1"/>
        <w:jc w:val="center"/>
        <w:rPr>
          <w:rFonts w:hint="eastAsia" w:ascii="宋体" w:hAnsi="宋体"/>
          <w:b/>
          <w:bCs/>
          <w:sz w:val="36"/>
          <w:szCs w:val="36"/>
        </w:rPr>
      </w:pPr>
    </w:p>
    <w:p w14:paraId="7786852E">
      <w:pPr>
        <w:snapToGrid w:val="0"/>
        <w:spacing w:line="360" w:lineRule="auto"/>
        <w:ind w:right="2" w:rightChars="1"/>
        <w:jc w:val="center"/>
        <w:rPr>
          <w:rFonts w:hint="eastAsia" w:ascii="宋体" w:hAnsi="宋体"/>
          <w:b/>
          <w:bCs/>
          <w:sz w:val="36"/>
          <w:szCs w:val="36"/>
        </w:rPr>
      </w:pPr>
      <w:r>
        <w:rPr>
          <w:rFonts w:hint="eastAsia" w:ascii="宋体" w:hAnsi="宋体"/>
          <w:b/>
          <w:bCs/>
          <w:sz w:val="36"/>
          <w:szCs w:val="36"/>
        </w:rPr>
        <w:t>甘肃酒钢集团宏兴钢铁股份有限公司选</w:t>
      </w:r>
      <w:r>
        <w:rPr>
          <w:rFonts w:hint="eastAsia" w:ascii="宋体" w:hAnsi="宋体"/>
          <w:b/>
          <w:bCs/>
          <w:sz w:val="36"/>
          <w:szCs w:val="36"/>
          <w:lang w:eastAsia="zh-CN"/>
        </w:rPr>
        <w:t>矿</w:t>
      </w:r>
      <w:r>
        <w:rPr>
          <w:rFonts w:hint="eastAsia" w:ascii="宋体" w:hAnsi="宋体"/>
          <w:b/>
          <w:bCs/>
          <w:sz w:val="36"/>
          <w:szCs w:val="36"/>
        </w:rPr>
        <w:t>厂</w:t>
      </w:r>
    </w:p>
    <w:p w14:paraId="4C9637CE">
      <w:pPr>
        <w:snapToGrid w:val="0"/>
        <w:spacing w:line="360" w:lineRule="auto"/>
        <w:ind w:right="2" w:rightChars="1"/>
        <w:jc w:val="center"/>
        <w:rPr>
          <w:rFonts w:hint="eastAsia" w:ascii="宋体" w:hAnsi="宋体"/>
          <w:b/>
          <w:bCs/>
          <w:sz w:val="36"/>
          <w:szCs w:val="36"/>
        </w:rPr>
      </w:pPr>
    </w:p>
    <w:p w14:paraId="48CA5BE9">
      <w:pPr>
        <w:snapToGrid w:val="0"/>
        <w:spacing w:line="360" w:lineRule="auto"/>
        <w:ind w:right="2" w:rightChars="1"/>
        <w:jc w:val="center"/>
        <w:rPr>
          <w:rFonts w:hint="eastAsia" w:ascii="宋体" w:hAnsi="宋体"/>
          <w:b/>
          <w:bCs/>
          <w:sz w:val="36"/>
          <w:szCs w:val="36"/>
          <w:lang w:val="en-US" w:eastAsia="zh-CN"/>
        </w:rPr>
      </w:pPr>
      <w:r>
        <w:rPr>
          <w:rFonts w:hint="eastAsia" w:ascii="宋体" w:hAnsi="宋体"/>
          <w:b/>
          <w:bCs/>
          <w:sz w:val="36"/>
          <w:szCs w:val="36"/>
          <w:lang w:eastAsia="zh-CN"/>
        </w:rPr>
        <w:t>重载自适应辊轮自动纠偏装置\SG1200/REV-V2</w:t>
      </w:r>
      <w:r>
        <w:rPr>
          <w:rFonts w:hint="eastAsia" w:ascii="宋体" w:hAnsi="宋体"/>
          <w:b/>
          <w:bCs/>
          <w:sz w:val="36"/>
          <w:szCs w:val="36"/>
          <w:lang w:val="en-US" w:eastAsia="zh-CN"/>
        </w:rPr>
        <w:t>(70195286)</w:t>
      </w:r>
    </w:p>
    <w:p w14:paraId="58DA0BD0">
      <w:pPr>
        <w:snapToGrid w:val="0"/>
        <w:spacing w:line="360" w:lineRule="auto"/>
        <w:ind w:right="2" w:rightChars="1"/>
        <w:jc w:val="center"/>
        <w:rPr>
          <w:rFonts w:hint="eastAsia" w:ascii="宋体" w:hAnsi="宋体"/>
          <w:b/>
          <w:bCs/>
          <w:sz w:val="36"/>
          <w:szCs w:val="36"/>
          <w:lang w:val="en-US" w:eastAsia="zh-CN"/>
        </w:rPr>
      </w:pPr>
      <w:r>
        <w:rPr>
          <w:rFonts w:hint="eastAsia" w:ascii="宋体" w:hAnsi="宋体"/>
          <w:b/>
          <w:bCs/>
          <w:sz w:val="36"/>
          <w:szCs w:val="36"/>
          <w:lang w:eastAsia="zh-CN"/>
        </w:rPr>
        <w:t>重载自适应辊轮自动纠偏装置\SG1200/TRT-C2</w:t>
      </w:r>
      <w:r>
        <w:rPr>
          <w:rFonts w:hint="eastAsia" w:ascii="宋体" w:hAnsi="宋体"/>
          <w:b/>
          <w:bCs/>
          <w:sz w:val="36"/>
          <w:szCs w:val="36"/>
          <w:lang w:val="en-US" w:eastAsia="zh-CN"/>
        </w:rPr>
        <w:t>(70195280)</w:t>
      </w:r>
    </w:p>
    <w:p w14:paraId="56C1B306">
      <w:pPr>
        <w:snapToGrid w:val="0"/>
        <w:spacing w:line="360" w:lineRule="auto"/>
        <w:ind w:right="2" w:rightChars="1"/>
        <w:jc w:val="center"/>
        <w:rPr>
          <w:rFonts w:hint="eastAsia" w:ascii="宋体" w:hAnsi="宋体"/>
          <w:b/>
          <w:bCs/>
          <w:sz w:val="36"/>
          <w:szCs w:val="36"/>
        </w:rPr>
      </w:pPr>
      <w:r>
        <w:rPr>
          <w:rFonts w:hint="eastAsia" w:ascii="宋体" w:hAnsi="宋体"/>
          <w:b/>
          <w:bCs/>
          <w:sz w:val="36"/>
          <w:szCs w:val="36"/>
        </w:rPr>
        <w:t>采购</w:t>
      </w:r>
      <w:r>
        <w:rPr>
          <w:rFonts w:hint="eastAsia" w:ascii="宋体" w:hAnsi="宋体"/>
          <w:b/>
          <w:bCs/>
          <w:sz w:val="36"/>
          <w:szCs w:val="36"/>
          <w:lang w:eastAsia="zh-CN"/>
        </w:rPr>
        <w:t>技术规格书</w:t>
      </w:r>
    </w:p>
    <w:p w14:paraId="4BEF9A1A">
      <w:pPr>
        <w:snapToGrid w:val="0"/>
        <w:spacing w:line="360" w:lineRule="auto"/>
        <w:ind w:right="-447"/>
        <w:jc w:val="center"/>
        <w:rPr>
          <w:rFonts w:hint="eastAsia" w:ascii="宋体" w:hAnsi="宋体"/>
          <w:sz w:val="36"/>
          <w:szCs w:val="48"/>
        </w:rPr>
      </w:pPr>
    </w:p>
    <w:p w14:paraId="16C57B90">
      <w:pPr>
        <w:snapToGrid w:val="0"/>
        <w:spacing w:line="360" w:lineRule="auto"/>
        <w:ind w:right="-447"/>
        <w:jc w:val="center"/>
        <w:rPr>
          <w:rFonts w:hint="eastAsia" w:ascii="宋体" w:hAnsi="宋体"/>
          <w:sz w:val="36"/>
          <w:szCs w:val="48"/>
        </w:rPr>
      </w:pPr>
    </w:p>
    <w:p w14:paraId="5E1DEBF2">
      <w:pPr>
        <w:snapToGrid w:val="0"/>
        <w:spacing w:line="360" w:lineRule="auto"/>
        <w:ind w:right="2" w:rightChars="1" w:firstLine="560" w:firstLineChars="200"/>
        <w:rPr>
          <w:rFonts w:hint="eastAsia" w:ascii="宋体" w:hAnsi="宋体"/>
          <w:sz w:val="28"/>
          <w:szCs w:val="28"/>
        </w:rPr>
      </w:pPr>
    </w:p>
    <w:p w14:paraId="75A4DBDE">
      <w:pPr>
        <w:keepNext w:val="0"/>
        <w:keepLines w:val="0"/>
        <w:pageBreakBefore w:val="0"/>
        <w:widowControl w:val="0"/>
        <w:kinsoku/>
        <w:wordWrap/>
        <w:overflowPunct/>
        <w:topLinePunct w:val="0"/>
        <w:autoSpaceDE/>
        <w:autoSpaceDN/>
        <w:bidi w:val="0"/>
        <w:adjustRightInd/>
        <w:snapToGrid w:val="0"/>
        <w:spacing w:line="480" w:lineRule="auto"/>
        <w:ind w:right="2" w:rightChars="1" w:firstLine="700" w:firstLineChars="250"/>
        <w:textAlignment w:val="auto"/>
        <w:rPr>
          <w:rFonts w:hint="eastAsia" w:ascii="宋体" w:hAnsi="宋体"/>
          <w:b/>
          <w:sz w:val="36"/>
          <w:szCs w:val="36"/>
        </w:rPr>
      </w:pPr>
      <w:r>
        <w:rPr>
          <w:rFonts w:hint="eastAsia" w:ascii="宋体" w:hAnsi="宋体"/>
          <w:b/>
          <w:sz w:val="28"/>
          <w:szCs w:val="28"/>
        </w:rPr>
        <w:t>甲方：甘肃酒钢集团宏兴钢铁股份有限公司</w:t>
      </w:r>
      <w:r>
        <w:rPr>
          <w:rFonts w:hint="eastAsia" w:ascii="宋体" w:hAnsi="宋体"/>
          <w:b/>
          <w:sz w:val="28"/>
          <w:szCs w:val="28"/>
          <w:lang w:eastAsia="zh-CN"/>
        </w:rPr>
        <w:t>选矿</w:t>
      </w:r>
      <w:r>
        <w:rPr>
          <w:rFonts w:hint="eastAsia" w:ascii="宋体" w:hAnsi="宋体"/>
          <w:b/>
          <w:sz w:val="28"/>
          <w:szCs w:val="28"/>
        </w:rPr>
        <w:t>厂</w:t>
      </w:r>
    </w:p>
    <w:p w14:paraId="21EBF130">
      <w:pPr>
        <w:keepNext w:val="0"/>
        <w:keepLines w:val="0"/>
        <w:pageBreakBefore w:val="0"/>
        <w:widowControl w:val="0"/>
        <w:kinsoku/>
        <w:wordWrap/>
        <w:overflowPunct/>
        <w:topLinePunct w:val="0"/>
        <w:autoSpaceDE/>
        <w:autoSpaceDN/>
        <w:bidi w:val="0"/>
        <w:adjustRightInd/>
        <w:snapToGrid w:val="0"/>
        <w:spacing w:line="480" w:lineRule="auto"/>
        <w:ind w:right="2" w:rightChars="1" w:firstLine="700" w:firstLineChars="250"/>
        <w:textAlignment w:val="auto"/>
        <w:rPr>
          <w:rFonts w:hint="eastAsia" w:ascii="宋体" w:hAnsi="宋体"/>
          <w:b/>
          <w:sz w:val="28"/>
          <w:szCs w:val="28"/>
        </w:rPr>
      </w:pPr>
      <w:r>
        <w:rPr>
          <w:rFonts w:hint="eastAsia" w:ascii="宋体" w:hAnsi="宋体"/>
          <w:b/>
          <w:sz w:val="28"/>
          <w:szCs w:val="28"/>
        </w:rPr>
        <w:t>甲方代表（签字）：</w:t>
      </w:r>
    </w:p>
    <w:p w14:paraId="6C84089B">
      <w:pPr>
        <w:keepNext w:val="0"/>
        <w:keepLines w:val="0"/>
        <w:pageBreakBefore w:val="0"/>
        <w:widowControl w:val="0"/>
        <w:kinsoku/>
        <w:wordWrap/>
        <w:overflowPunct/>
        <w:topLinePunct w:val="0"/>
        <w:autoSpaceDE/>
        <w:autoSpaceDN/>
        <w:bidi w:val="0"/>
        <w:adjustRightInd/>
        <w:snapToGrid w:val="0"/>
        <w:spacing w:line="480" w:lineRule="auto"/>
        <w:ind w:right="2" w:rightChars="1" w:firstLine="700" w:firstLineChars="250"/>
        <w:textAlignment w:val="auto"/>
        <w:rPr>
          <w:rFonts w:hint="eastAsia" w:ascii="宋体" w:hAnsi="宋体"/>
          <w:b/>
          <w:sz w:val="28"/>
          <w:szCs w:val="28"/>
        </w:rPr>
      </w:pPr>
      <w:r>
        <w:rPr>
          <w:rFonts w:hint="eastAsia" w:ascii="宋体" w:hAnsi="宋体"/>
          <w:b/>
          <w:sz w:val="28"/>
          <w:szCs w:val="28"/>
        </w:rPr>
        <w:t xml:space="preserve">乙方： </w:t>
      </w:r>
    </w:p>
    <w:p w14:paraId="11B74B44">
      <w:pPr>
        <w:keepNext w:val="0"/>
        <w:keepLines w:val="0"/>
        <w:pageBreakBefore w:val="0"/>
        <w:widowControl w:val="0"/>
        <w:kinsoku/>
        <w:wordWrap/>
        <w:overflowPunct/>
        <w:topLinePunct w:val="0"/>
        <w:autoSpaceDE/>
        <w:autoSpaceDN/>
        <w:bidi w:val="0"/>
        <w:adjustRightInd/>
        <w:snapToGrid w:val="0"/>
        <w:spacing w:line="480" w:lineRule="auto"/>
        <w:ind w:right="2" w:rightChars="1" w:firstLine="700" w:firstLineChars="250"/>
        <w:textAlignment w:val="auto"/>
        <w:rPr>
          <w:rFonts w:hint="eastAsia" w:ascii="宋体" w:hAnsi="宋体"/>
          <w:b/>
          <w:sz w:val="28"/>
          <w:szCs w:val="28"/>
        </w:rPr>
      </w:pPr>
      <w:r>
        <w:rPr>
          <w:rFonts w:hint="eastAsia" w:ascii="宋体" w:hAnsi="宋体"/>
          <w:b/>
          <w:sz w:val="28"/>
          <w:szCs w:val="28"/>
        </w:rPr>
        <w:t>乙方代表（签字）：</w:t>
      </w:r>
    </w:p>
    <w:p w14:paraId="09EE33B4">
      <w:pPr>
        <w:snapToGrid w:val="0"/>
        <w:spacing w:line="360" w:lineRule="auto"/>
        <w:ind w:right="2" w:rightChars="1" w:firstLine="700" w:firstLineChars="250"/>
        <w:rPr>
          <w:rFonts w:hint="eastAsia" w:ascii="宋体" w:hAnsi="宋体"/>
          <w:b/>
          <w:sz w:val="28"/>
          <w:szCs w:val="28"/>
        </w:rPr>
      </w:pPr>
    </w:p>
    <w:p w14:paraId="71945020">
      <w:pPr>
        <w:snapToGrid w:val="0"/>
        <w:spacing w:before="100" w:beforeAutospacing="1" w:after="100" w:afterAutospacing="1" w:line="360" w:lineRule="auto"/>
        <w:ind w:right="-447" w:firstLine="1345" w:firstLineChars="420"/>
        <w:jc w:val="center"/>
        <w:rPr>
          <w:rFonts w:hint="eastAsia" w:ascii="宋体" w:hAnsi="宋体"/>
          <w:b/>
          <w:sz w:val="32"/>
          <w:szCs w:val="32"/>
        </w:rPr>
      </w:pPr>
    </w:p>
    <w:p w14:paraId="2CA0DE6A">
      <w:pPr>
        <w:widowControl/>
        <w:spacing w:before="100" w:beforeAutospacing="1" w:after="100" w:afterAutospacing="1" w:line="360" w:lineRule="auto"/>
        <w:ind w:right="63" w:rightChars="30"/>
        <w:jc w:val="center"/>
        <w:rPr>
          <w:rFonts w:hint="eastAsia" w:ascii="宋体" w:hAnsi="宋体"/>
          <w:b/>
          <w:sz w:val="30"/>
          <w:szCs w:val="30"/>
        </w:rPr>
      </w:pPr>
      <w:r>
        <w:rPr>
          <w:rFonts w:hint="eastAsia" w:ascii="宋体" w:hAnsi="宋体" w:eastAsia="宋体" w:cs="宋体"/>
          <w:b/>
          <w:color w:val="auto"/>
          <w:sz w:val="30"/>
          <w:szCs w:val="30"/>
          <w:lang w:val="en-US" w:eastAsia="zh-CN"/>
        </w:rPr>
        <w:t>日期</w:t>
      </w:r>
      <w:r>
        <w:rPr>
          <w:rFonts w:hint="eastAsia" w:ascii="宋体" w:hAnsi="宋体" w:eastAsia="宋体" w:cs="宋体"/>
          <w:b/>
          <w:color w:val="auto"/>
          <w:sz w:val="30"/>
          <w:szCs w:val="30"/>
        </w:rPr>
        <w:t>：</w:t>
      </w:r>
      <w:r>
        <w:rPr>
          <w:rFonts w:hint="eastAsia" w:ascii="宋体" w:hAnsi="宋体" w:eastAsia="宋体" w:cs="宋体"/>
          <w:b/>
          <w:color w:val="auto"/>
          <w:sz w:val="30"/>
          <w:szCs w:val="30"/>
          <w:lang w:val="en-US" w:eastAsia="zh-CN"/>
        </w:rPr>
        <w:t xml:space="preserve">   </w:t>
      </w:r>
      <w:r>
        <w:rPr>
          <w:rFonts w:hint="eastAsia" w:ascii="宋体" w:hAnsi="宋体"/>
          <w:b/>
          <w:sz w:val="30"/>
          <w:szCs w:val="30"/>
        </w:rPr>
        <w:t>年   月   日</w:t>
      </w:r>
    </w:p>
    <w:p w14:paraId="5541BA26">
      <w:pPr>
        <w:snapToGrid w:val="0"/>
        <w:spacing w:line="360" w:lineRule="auto"/>
        <w:ind w:right="2" w:rightChars="1" w:firstLine="2711" w:firstLineChars="900"/>
        <w:jc w:val="both"/>
        <w:rPr>
          <w:rFonts w:hint="eastAsia" w:ascii="宋体" w:hAnsi="宋体"/>
          <w:b/>
          <w:sz w:val="36"/>
          <w:szCs w:val="36"/>
        </w:rPr>
      </w:pPr>
      <w:r>
        <w:rPr>
          <w:rFonts w:hint="eastAsia" w:ascii="宋体" w:hAnsi="宋体" w:eastAsia="宋体" w:cs="宋体"/>
          <w:b/>
          <w:color w:val="auto"/>
          <w:sz w:val="30"/>
          <w:szCs w:val="30"/>
        </w:rPr>
        <w:t>地点：甘肃省嘉峪关市</w:t>
      </w:r>
      <w:r>
        <w:rPr>
          <w:rFonts w:hint="eastAsia" w:eastAsia="宋体"/>
          <w:sz w:val="28"/>
          <w:szCs w:val="28"/>
          <w:lang w:val="en-US" w:eastAsia="zh-CN"/>
        </w:rPr>
        <w:t xml:space="preserve">                               </w:t>
      </w:r>
    </w:p>
    <w:p w14:paraId="49BB8EBF">
      <w:pPr>
        <w:snapToGrid w:val="0"/>
        <w:spacing w:line="360" w:lineRule="auto"/>
        <w:ind w:right="-447"/>
        <w:rPr>
          <w:rFonts w:hint="eastAsia" w:ascii="宋体" w:hAnsi="宋体"/>
          <w:b/>
          <w:sz w:val="36"/>
          <w:szCs w:val="48"/>
        </w:rPr>
      </w:pPr>
    </w:p>
    <w:p w14:paraId="51CDFEE9">
      <w:pPr>
        <w:snapToGrid w:val="0"/>
        <w:spacing w:line="360" w:lineRule="auto"/>
        <w:ind w:right="2" w:rightChars="1" w:firstLine="560" w:firstLineChars="200"/>
        <w:rPr>
          <w:rFonts w:hint="eastAsia" w:ascii="宋体" w:hAnsi="宋体"/>
          <w:b/>
          <w:sz w:val="28"/>
          <w:szCs w:val="28"/>
        </w:rPr>
      </w:pPr>
    </w:p>
    <w:p w14:paraId="720F5CA5">
      <w:pPr>
        <w:snapToGrid w:val="0"/>
        <w:spacing w:line="360" w:lineRule="auto"/>
        <w:ind w:right="2" w:rightChars="1" w:firstLine="560" w:firstLineChars="200"/>
        <w:rPr>
          <w:rFonts w:hint="eastAsia" w:ascii="宋体" w:hAnsi="宋体"/>
          <w:b/>
          <w:sz w:val="28"/>
          <w:szCs w:val="28"/>
        </w:rPr>
      </w:pPr>
    </w:p>
    <w:p w14:paraId="7F81D584">
      <w:pPr>
        <w:spacing w:line="223" w:lineRule="auto"/>
        <w:rPr>
          <w:sz w:val="28"/>
          <w:szCs w:val="28"/>
        </w:rPr>
        <w:sectPr>
          <w:pgSz w:w="11907" w:h="16840"/>
          <w:pgMar w:top="1431" w:right="1786" w:bottom="0" w:left="1786" w:header="0" w:footer="0" w:gutter="0"/>
          <w:cols w:space="720" w:num="1"/>
        </w:sectPr>
      </w:pPr>
    </w:p>
    <w:p w14:paraId="5788A6EE">
      <w:pPr>
        <w:keepNext w:val="0"/>
        <w:keepLines w:val="0"/>
        <w:pageBreakBefore w:val="0"/>
        <w:widowControl/>
        <w:kinsoku/>
        <w:wordWrap/>
        <w:overflowPunct/>
        <w:topLinePunct w:val="0"/>
        <w:autoSpaceDE/>
        <w:autoSpaceDN/>
        <w:bidi w:val="0"/>
        <w:adjustRightInd/>
        <w:snapToGrid/>
        <w:ind w:firstLine="480" w:firstLineChars="200"/>
        <w:jc w:val="left"/>
        <w:textAlignment w:val="baseline"/>
        <w:rPr>
          <w:rFonts w:hint="eastAsia" w:ascii="宋体" w:hAnsi="宋体" w:eastAsia="宋体" w:cs="宋体"/>
          <w:snapToGrid w:val="0"/>
          <w:sz w:val="21"/>
          <w:szCs w:val="21"/>
        </w:rPr>
      </w:pPr>
      <w:r>
        <w:rPr>
          <w:rFonts w:hint="eastAsia" w:ascii="宋体" w:hAnsi="宋体" w:eastAsia="宋体" w:cs="宋体"/>
          <w:color w:val="auto"/>
          <w:kern w:val="0"/>
          <w:sz w:val="24"/>
          <w:szCs w:val="28"/>
        </w:rPr>
        <w:t>甘肃酒钢集团宏兴钢铁股份有限公司</w:t>
      </w:r>
      <w:r>
        <w:rPr>
          <w:rFonts w:hint="eastAsia" w:ascii="宋体" w:hAnsi="宋体" w:eastAsia="宋体" w:cs="宋体"/>
          <w:color w:val="auto"/>
          <w:kern w:val="0"/>
          <w:sz w:val="24"/>
          <w:szCs w:val="28"/>
          <w:lang w:eastAsia="zh-CN"/>
        </w:rPr>
        <w:t>选矿厂</w:t>
      </w:r>
      <w:r>
        <w:rPr>
          <w:rFonts w:hint="eastAsia" w:ascii="宋体" w:hAnsi="宋体" w:eastAsia="宋体" w:cs="宋体"/>
          <w:color w:val="auto"/>
          <w:kern w:val="0"/>
          <w:sz w:val="24"/>
          <w:szCs w:val="28"/>
        </w:rPr>
        <w:t>（以下称甲方）与</w:t>
      </w:r>
      <w:r>
        <w:rPr>
          <w:rFonts w:hint="eastAsia" w:ascii="宋体" w:hAnsi="宋体" w:eastAsia="宋体" w:cs="宋体"/>
          <w:color w:val="auto"/>
          <w:kern w:val="0"/>
          <w:sz w:val="24"/>
          <w:szCs w:val="28"/>
          <w:u w:val="single"/>
        </w:rPr>
        <w:t xml:space="preserve">                 </w:t>
      </w:r>
      <w:r>
        <w:rPr>
          <w:rFonts w:hint="eastAsia" w:ascii="宋体" w:hAnsi="宋体" w:eastAsia="宋体" w:cs="宋体"/>
          <w:color w:val="auto"/>
          <w:kern w:val="0"/>
          <w:sz w:val="24"/>
          <w:szCs w:val="28"/>
        </w:rPr>
        <w:t>（以下称乙方）就甲方</w:t>
      </w:r>
      <w:r>
        <w:rPr>
          <w:rFonts w:hint="eastAsia" w:ascii="宋体" w:hAnsi="宋体" w:eastAsia="宋体" w:cs="宋体"/>
          <w:color w:val="auto"/>
          <w:kern w:val="0"/>
          <w:sz w:val="24"/>
          <w:szCs w:val="28"/>
          <w:lang w:val="en-US" w:eastAsia="zh-CN"/>
        </w:rPr>
        <w:t xml:space="preserve"> 回流控制阀</w:t>
      </w:r>
      <w:r>
        <w:rPr>
          <w:rFonts w:hint="eastAsia" w:ascii="宋体" w:hAnsi="宋体" w:eastAsia="宋体" w:cs="宋体"/>
          <w:color w:val="auto"/>
          <w:kern w:val="0"/>
          <w:sz w:val="24"/>
          <w:szCs w:val="28"/>
        </w:rPr>
        <w:t>供货事宜经双方协商，达成如下</w:t>
      </w:r>
      <w:r>
        <w:rPr>
          <w:rFonts w:hint="eastAsia" w:ascii="宋体" w:hAnsi="宋体" w:eastAsia="宋体" w:cs="宋体"/>
          <w:color w:val="auto"/>
          <w:kern w:val="0"/>
          <w:sz w:val="24"/>
          <w:szCs w:val="28"/>
          <w:lang w:eastAsia="zh-CN"/>
        </w:rPr>
        <w:t>技术规格书</w:t>
      </w:r>
      <w:r>
        <w:rPr>
          <w:rFonts w:hint="eastAsia" w:ascii="宋体" w:hAnsi="宋体" w:eastAsia="宋体" w:cs="宋体"/>
          <w:color w:val="auto"/>
          <w:kern w:val="0"/>
          <w:sz w:val="24"/>
          <w:szCs w:val="28"/>
        </w:rPr>
        <w:t>：</w:t>
      </w:r>
    </w:p>
    <w:p w14:paraId="6B6F4746">
      <w:pPr>
        <w:spacing w:line="360" w:lineRule="auto"/>
        <w:rPr>
          <w:rFonts w:hint="eastAsia" w:ascii="宋体" w:hAnsi="宋体" w:eastAsia="宋体" w:cs="宋体"/>
          <w:b/>
          <w:color w:val="auto"/>
          <w:sz w:val="24"/>
          <w:szCs w:val="22"/>
        </w:rPr>
      </w:pPr>
      <w:r>
        <w:rPr>
          <w:rFonts w:hint="eastAsia" w:ascii="宋体" w:hAnsi="宋体" w:eastAsia="宋体" w:cs="宋体"/>
          <w:b/>
          <w:color w:val="auto"/>
          <w:sz w:val="24"/>
          <w:szCs w:val="22"/>
          <w:lang w:eastAsia="zh-CN"/>
        </w:rPr>
        <w:t>一、</w:t>
      </w:r>
      <w:r>
        <w:rPr>
          <w:rFonts w:hint="eastAsia" w:ascii="宋体" w:hAnsi="宋体" w:eastAsia="宋体" w:cs="宋体"/>
          <w:b/>
          <w:color w:val="auto"/>
          <w:sz w:val="24"/>
          <w:szCs w:val="22"/>
        </w:rPr>
        <w:t>总则</w:t>
      </w:r>
    </w:p>
    <w:p w14:paraId="1583253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本技术</w:t>
      </w:r>
      <w:r>
        <w:rPr>
          <w:rFonts w:hint="eastAsia" w:ascii="宋体" w:hAnsi="宋体" w:eastAsia="宋体" w:cs="宋体"/>
          <w:color w:val="auto"/>
          <w:kern w:val="0"/>
          <w:sz w:val="24"/>
          <w:szCs w:val="28"/>
          <w:lang w:eastAsia="zh-CN"/>
        </w:rPr>
        <w:t>规格书</w:t>
      </w:r>
      <w:r>
        <w:rPr>
          <w:rFonts w:hint="eastAsia" w:ascii="宋体" w:hAnsi="宋体" w:eastAsia="宋体" w:cs="宋体"/>
          <w:color w:val="auto"/>
          <w:kern w:val="0"/>
          <w:sz w:val="24"/>
          <w:szCs w:val="28"/>
        </w:rPr>
        <w:t>作为甲方设备订货合同的附件，与订货合同同时生效，具有同等法律效力。合同执行期间双方再协商形成的补充</w:t>
      </w:r>
      <w:r>
        <w:rPr>
          <w:rFonts w:hint="eastAsia" w:ascii="宋体" w:hAnsi="宋体" w:eastAsia="宋体" w:cs="宋体"/>
          <w:color w:val="auto"/>
          <w:kern w:val="0"/>
          <w:sz w:val="24"/>
          <w:szCs w:val="28"/>
          <w:lang w:eastAsia="zh-CN"/>
        </w:rPr>
        <w:t>规格书</w:t>
      </w:r>
      <w:r>
        <w:rPr>
          <w:rFonts w:hint="eastAsia" w:ascii="宋体" w:hAnsi="宋体" w:eastAsia="宋体" w:cs="宋体"/>
          <w:color w:val="auto"/>
          <w:kern w:val="0"/>
          <w:sz w:val="24"/>
          <w:szCs w:val="28"/>
        </w:rPr>
        <w:t>和追加条款也具有同等法律效力。</w:t>
      </w:r>
    </w:p>
    <w:p w14:paraId="0820E0C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1.关于产品制造标准</w:t>
      </w:r>
    </w:p>
    <w:p w14:paraId="018CB0BE">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val="en-US" w:eastAsia="zh-CN"/>
        </w:rPr>
        <w:t xml:space="preserve">1.1 </w:t>
      </w:r>
      <w:r>
        <w:rPr>
          <w:rFonts w:hint="eastAsia" w:ascii="宋体" w:hAnsi="宋体" w:eastAsia="宋体" w:cs="宋体"/>
          <w:color w:val="auto"/>
          <w:kern w:val="0"/>
          <w:sz w:val="24"/>
          <w:szCs w:val="28"/>
        </w:rPr>
        <w:t>本技术</w:t>
      </w:r>
      <w:r>
        <w:rPr>
          <w:rFonts w:hint="eastAsia" w:ascii="宋体" w:hAnsi="宋体" w:eastAsia="宋体" w:cs="宋体"/>
          <w:color w:val="auto"/>
          <w:kern w:val="0"/>
          <w:sz w:val="24"/>
          <w:szCs w:val="28"/>
          <w:lang w:eastAsia="zh-CN"/>
        </w:rPr>
        <w:t>规格书</w:t>
      </w:r>
      <w:r>
        <w:rPr>
          <w:rFonts w:hint="eastAsia" w:ascii="宋体" w:hAnsi="宋体" w:eastAsia="宋体" w:cs="宋体"/>
          <w:color w:val="auto"/>
          <w:kern w:val="0"/>
          <w:sz w:val="24"/>
          <w:szCs w:val="28"/>
        </w:rPr>
        <w:t>所提出的是最低标准的技术要求，并未对一切技术细节做出规定，也未充分引述有关标准和规范的条文，乙方应保证产品符合有关标准和技术文件</w:t>
      </w:r>
      <w:r>
        <w:rPr>
          <w:rFonts w:hint="eastAsia" w:ascii="宋体" w:hAnsi="宋体" w:eastAsia="宋体" w:cs="宋体"/>
          <w:color w:val="auto"/>
          <w:kern w:val="0"/>
          <w:sz w:val="24"/>
          <w:szCs w:val="28"/>
          <w:lang w:eastAsia="zh-CN"/>
        </w:rPr>
        <w:t>。内容冲突时，以较高的、较严格的标准规范为准。</w:t>
      </w:r>
    </w:p>
    <w:p w14:paraId="6A3A747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val="en-US" w:eastAsia="zh-CN"/>
        </w:rPr>
        <w:t>1.2</w:t>
      </w:r>
      <w:r>
        <w:rPr>
          <w:rFonts w:hint="eastAsia" w:ascii="宋体" w:hAnsi="宋体" w:eastAsia="宋体" w:cs="宋体"/>
          <w:color w:val="auto"/>
          <w:kern w:val="0"/>
          <w:sz w:val="24"/>
          <w:szCs w:val="28"/>
          <w:lang w:eastAsia="zh-CN"/>
        </w:rPr>
        <w:t>产品的制造</w:t>
      </w:r>
      <w:r>
        <w:rPr>
          <w:rFonts w:hint="eastAsia" w:ascii="宋体" w:hAnsi="宋体" w:eastAsia="宋体" w:cs="宋体"/>
          <w:color w:val="auto"/>
          <w:kern w:val="0"/>
          <w:sz w:val="24"/>
          <w:szCs w:val="28"/>
        </w:rPr>
        <w:t>标准和技术规范应为合同签字日为止最新公布发行的标准和技术规范。</w:t>
      </w:r>
    </w:p>
    <w:p w14:paraId="5DA688A9">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1.3 乙方提供的产品必须具有国内同行业近几年内的先进制造水平，采用先进的工艺、优质的材料、成熟的技术。关键部件制造工艺须通过ISO 9001质量管理体系认证。</w:t>
      </w:r>
    </w:p>
    <w:p w14:paraId="0C857CE8">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val="en-US" w:eastAsia="zh-CN"/>
        </w:rPr>
        <w:t xml:space="preserve">1.4 </w:t>
      </w:r>
      <w:r>
        <w:rPr>
          <w:rFonts w:hint="eastAsia" w:ascii="宋体" w:hAnsi="宋体" w:eastAsia="宋体" w:cs="宋体"/>
          <w:color w:val="auto"/>
          <w:kern w:val="0"/>
          <w:sz w:val="24"/>
          <w:szCs w:val="28"/>
        </w:rPr>
        <w:t>乙方提供</w:t>
      </w:r>
      <w:r>
        <w:rPr>
          <w:rFonts w:hint="eastAsia" w:ascii="宋体" w:hAnsi="宋体" w:eastAsia="宋体" w:cs="宋体"/>
          <w:color w:val="auto"/>
          <w:kern w:val="0"/>
          <w:sz w:val="24"/>
          <w:szCs w:val="28"/>
          <w:lang w:eastAsia="zh-CN"/>
        </w:rPr>
        <w:t>产品</w:t>
      </w:r>
      <w:r>
        <w:rPr>
          <w:rFonts w:hint="eastAsia" w:ascii="宋体" w:hAnsi="宋体" w:eastAsia="宋体" w:cs="宋体"/>
          <w:color w:val="auto"/>
          <w:kern w:val="0"/>
          <w:sz w:val="24"/>
          <w:szCs w:val="28"/>
        </w:rPr>
        <w:t>的制造</w:t>
      </w:r>
      <w:r>
        <w:rPr>
          <w:rFonts w:hint="eastAsia" w:ascii="宋体" w:hAnsi="宋体" w:eastAsia="宋体" w:cs="宋体"/>
          <w:color w:val="auto"/>
          <w:kern w:val="0"/>
          <w:sz w:val="24"/>
          <w:szCs w:val="28"/>
          <w:lang w:eastAsia="zh-CN"/>
        </w:rPr>
        <w:t>工艺、</w:t>
      </w:r>
      <w:r>
        <w:rPr>
          <w:rFonts w:hint="eastAsia" w:ascii="宋体" w:hAnsi="宋体" w:eastAsia="宋体" w:cs="宋体"/>
          <w:color w:val="auto"/>
          <w:kern w:val="0"/>
          <w:sz w:val="24"/>
          <w:szCs w:val="28"/>
        </w:rPr>
        <w:t>材料的选择</w:t>
      </w:r>
      <w:r>
        <w:rPr>
          <w:rFonts w:hint="eastAsia" w:ascii="宋体" w:hAnsi="宋体" w:eastAsia="宋体" w:cs="宋体"/>
          <w:color w:val="auto"/>
          <w:kern w:val="0"/>
          <w:sz w:val="24"/>
          <w:szCs w:val="28"/>
          <w:lang w:eastAsia="zh-CN"/>
        </w:rPr>
        <w:t>、结构的设计</w:t>
      </w:r>
      <w:r>
        <w:rPr>
          <w:rFonts w:hint="eastAsia" w:ascii="宋体" w:hAnsi="宋体" w:eastAsia="宋体" w:cs="宋体"/>
          <w:color w:val="auto"/>
          <w:kern w:val="0"/>
          <w:sz w:val="24"/>
          <w:szCs w:val="28"/>
        </w:rPr>
        <w:t>，都应按照</w:t>
      </w:r>
      <w:r>
        <w:rPr>
          <w:rFonts w:hint="eastAsia" w:ascii="宋体" w:hAnsi="宋体" w:eastAsia="宋体" w:cs="宋体"/>
          <w:color w:val="auto"/>
          <w:kern w:val="0"/>
          <w:sz w:val="24"/>
          <w:szCs w:val="28"/>
          <w:lang w:eastAsia="zh-CN"/>
        </w:rPr>
        <w:t>不低于</w:t>
      </w:r>
      <w:r>
        <w:rPr>
          <w:rFonts w:hint="eastAsia" w:ascii="宋体" w:hAnsi="宋体" w:eastAsia="宋体" w:cs="宋体"/>
          <w:color w:val="auto"/>
          <w:kern w:val="0"/>
          <w:sz w:val="24"/>
          <w:szCs w:val="28"/>
        </w:rPr>
        <w:t>国内外通用的现行标准和相应的技术规范执行，</w:t>
      </w:r>
      <w:r>
        <w:rPr>
          <w:rFonts w:hint="eastAsia" w:ascii="宋体" w:hAnsi="宋体" w:eastAsia="宋体" w:cs="宋体"/>
          <w:color w:val="auto"/>
          <w:kern w:val="0"/>
          <w:sz w:val="24"/>
          <w:szCs w:val="28"/>
          <w:lang w:eastAsia="zh-CN"/>
        </w:rPr>
        <w:t>鼓励乙方使用高于国家标准、行业标准、团体标准的内部企业标准进行产品制造，这些产品应符合成熟、可靠、先进的基本要求，并经过有效的现场检验。</w:t>
      </w:r>
      <w:r>
        <w:rPr>
          <w:rFonts w:hint="eastAsia" w:ascii="宋体" w:hAnsi="宋体" w:eastAsia="宋体" w:cs="宋体"/>
          <w:color w:val="auto"/>
          <w:kern w:val="0"/>
          <w:sz w:val="24"/>
          <w:szCs w:val="28"/>
          <w:lang w:val="en-US" w:eastAsia="zh-CN"/>
        </w:rPr>
        <w:t>双方本着诚信合作原则，共同推动产品在实际工况中的持续改进与价值提升。</w:t>
      </w:r>
    </w:p>
    <w:p w14:paraId="3F4FF35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2.关于乙方制造能力、技术能力</w:t>
      </w:r>
    </w:p>
    <w:p w14:paraId="38B98A8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2.1 </w:t>
      </w:r>
      <w:r>
        <w:rPr>
          <w:rFonts w:hint="eastAsia" w:ascii="宋体" w:hAnsi="宋体" w:eastAsia="宋体" w:cs="宋体"/>
          <w:color w:val="auto"/>
          <w:kern w:val="0"/>
          <w:sz w:val="24"/>
          <w:szCs w:val="28"/>
        </w:rPr>
        <w:t>乙方须为生产制造型企业，产品的源头制造厂家，不接受非源头制造厂家授权贸易商参与供货，产品必须为原厂自主研发制造，严禁任何形式的贴牌、代工或外协生产，不接受任何形式的贴牌生产或外协加工。乙方使用从外部采购的标准件应征得甲方书面同意，并符合本</w:t>
      </w:r>
      <w:r>
        <w:rPr>
          <w:rFonts w:hint="eastAsia" w:ascii="宋体" w:hAnsi="宋体" w:eastAsia="宋体" w:cs="宋体"/>
          <w:color w:val="auto"/>
          <w:kern w:val="0"/>
          <w:sz w:val="24"/>
          <w:szCs w:val="28"/>
          <w:lang w:eastAsia="zh-CN"/>
        </w:rPr>
        <w:t>规格书</w:t>
      </w:r>
      <w:r>
        <w:rPr>
          <w:rFonts w:hint="eastAsia" w:ascii="宋体" w:hAnsi="宋体" w:eastAsia="宋体" w:cs="宋体"/>
          <w:color w:val="auto"/>
          <w:kern w:val="0"/>
          <w:sz w:val="24"/>
          <w:szCs w:val="28"/>
        </w:rPr>
        <w:t>技术要求。</w:t>
      </w:r>
    </w:p>
    <w:p w14:paraId="3976CAE9">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2.2 </w:t>
      </w:r>
      <w:r>
        <w:rPr>
          <w:rFonts w:hint="eastAsia" w:ascii="宋体" w:hAnsi="宋体" w:eastAsia="宋体" w:cs="宋体"/>
          <w:color w:val="auto"/>
          <w:kern w:val="0"/>
          <w:sz w:val="24"/>
          <w:szCs w:val="28"/>
        </w:rPr>
        <w:t>乙方应具备完整的研发、设计、制造及质量控制体系（</w:t>
      </w:r>
      <w:r>
        <w:rPr>
          <w:rFonts w:hint="eastAsia" w:ascii="宋体" w:hAnsi="宋体" w:eastAsia="宋体" w:cs="宋体"/>
          <w:color w:val="FF0000"/>
          <w:kern w:val="0"/>
          <w:sz w:val="24"/>
          <w:szCs w:val="28"/>
          <w:highlight w:val="none"/>
        </w:rPr>
        <w:t>通过ISO9001质量管理体系 、ISO14001环境管理体系和ISO45001职业健康安全管理体系三大认证体系</w:t>
      </w:r>
      <w:r>
        <w:rPr>
          <w:rFonts w:hint="eastAsia" w:ascii="宋体" w:hAnsi="宋体" w:eastAsia="宋体" w:cs="宋体"/>
          <w:color w:val="auto"/>
          <w:kern w:val="0"/>
          <w:sz w:val="24"/>
          <w:szCs w:val="28"/>
        </w:rPr>
        <w:t>），拥有独立的生产厂房和专业技术人员，确保产品从原材料采购到成品出厂全过程可控可溯。</w:t>
      </w:r>
    </w:p>
    <w:p w14:paraId="25D1246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2.3 </w:t>
      </w:r>
      <w:r>
        <w:rPr>
          <w:rFonts w:hint="eastAsia" w:ascii="宋体" w:hAnsi="宋体" w:eastAsia="宋体" w:cs="宋体"/>
          <w:color w:val="auto"/>
          <w:kern w:val="0"/>
          <w:sz w:val="24"/>
          <w:szCs w:val="28"/>
        </w:rPr>
        <w:t>乙方提供的</w:t>
      </w:r>
      <w:r>
        <w:rPr>
          <w:rFonts w:hint="eastAsia" w:ascii="宋体" w:hAnsi="宋体" w:eastAsia="宋体" w:cs="宋体"/>
          <w:color w:val="auto"/>
          <w:kern w:val="0"/>
          <w:sz w:val="24"/>
          <w:szCs w:val="28"/>
          <w:lang w:eastAsia="zh-CN"/>
        </w:rPr>
        <w:t>产品</w:t>
      </w:r>
      <w:r>
        <w:rPr>
          <w:rFonts w:hint="eastAsia" w:ascii="宋体" w:hAnsi="宋体" w:eastAsia="宋体" w:cs="宋体"/>
          <w:color w:val="auto"/>
          <w:kern w:val="0"/>
          <w:sz w:val="24"/>
          <w:szCs w:val="28"/>
        </w:rPr>
        <w:t>必须是全新、规范、先进的高质量可靠产品，须对</w:t>
      </w:r>
      <w:r>
        <w:rPr>
          <w:rFonts w:hint="eastAsia" w:ascii="宋体" w:hAnsi="宋体" w:eastAsia="宋体" w:cs="宋体"/>
          <w:color w:val="auto"/>
          <w:kern w:val="0"/>
          <w:sz w:val="24"/>
          <w:szCs w:val="28"/>
          <w:lang w:eastAsia="zh-CN"/>
        </w:rPr>
        <w:t>产品</w:t>
      </w:r>
      <w:r>
        <w:rPr>
          <w:rFonts w:hint="eastAsia" w:ascii="宋体" w:hAnsi="宋体" w:eastAsia="宋体" w:cs="宋体"/>
          <w:color w:val="auto"/>
          <w:kern w:val="0"/>
          <w:sz w:val="24"/>
          <w:szCs w:val="28"/>
        </w:rPr>
        <w:t>的完整性、合理性和设计质量承担全部责任</w:t>
      </w:r>
      <w:r>
        <w:rPr>
          <w:rFonts w:hint="eastAsia" w:ascii="宋体" w:hAnsi="宋体" w:eastAsia="宋体" w:cs="宋体"/>
          <w:color w:val="auto"/>
          <w:kern w:val="0"/>
          <w:sz w:val="24"/>
          <w:szCs w:val="28"/>
          <w:lang w:eastAsia="zh-CN"/>
        </w:rPr>
        <w:t>，满足设备产品产能、质量及工况要求，</w:t>
      </w:r>
      <w:r>
        <w:rPr>
          <w:rFonts w:hint="eastAsia" w:ascii="宋体" w:hAnsi="宋体" w:eastAsia="宋体" w:cs="宋体"/>
          <w:color w:val="auto"/>
          <w:kern w:val="0"/>
          <w:sz w:val="24"/>
          <w:szCs w:val="28"/>
          <w:lang w:val="en-US" w:eastAsia="zh-CN"/>
        </w:rPr>
        <w:t>确保设备在高负荷连续工况下运行稳定、高效。</w:t>
      </w:r>
    </w:p>
    <w:p w14:paraId="66B0F814">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2.4 严禁以任何形式提供假冒伪劣产品或偷工减料，一经发现，甲方有权立即终止合同，并追究乙方由此造成的一切经济损失与法律责任。</w:t>
      </w:r>
    </w:p>
    <w:p w14:paraId="3C71D826">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2.5 乙方须建立完善的质量追溯体系，确保每批次产品从原材料入库、加工工艺到出厂检验全过程记录真实、完整、可查。建立关键原材料采购、关键生产工艺参数、关键中间环节质量检验、关键部件溯源清单等档案，符合质量溯源管理要求，确保全生命周期管理。</w:t>
      </w:r>
    </w:p>
    <w:p w14:paraId="4D3EACF1">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2.6 乙方有义务配合甲方对资质、业绩、技术能力、装备水平、制造过程进行动态审查，包括但不限于资料查验、官方网站查询、产品最终用户现场考察等形式，甲方保留对乙方生产现场进行实地核查的权利。若发现与本规格书、投标承诺不符，甲方有权终止合作并追索损失。</w:t>
      </w:r>
    </w:p>
    <w:p w14:paraId="4905C1F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3.关于产品质量</w:t>
      </w:r>
    </w:p>
    <w:p w14:paraId="19EA65C6">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3.1 乙方须对甲方所采购产品的使用环境、工况条件、安装尺寸进行现场确认，保障供货产品完全满足现场使用要求。提供的产品外形尺寸要符合甲方安装空间、不低于国家标准规范相关要求；提供的产品材质要满足甲方使用环境、保障设备原有性能和使用周期。若到货产品不能安装或更换，乙方承担全部责任。</w:t>
      </w:r>
    </w:p>
    <w:p w14:paraId="5985E33E">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3.2 凡涉及产品升级或工艺改进，乙方须第一时间通知甲方，并提供技术论证与实施方案。所有技术更新不得降低原有性能指标，且需通过第三方权威机构验证。</w:t>
      </w:r>
    </w:p>
    <w:p w14:paraId="25D614D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3.3 乙方提供产品质量保证书，对所提供的设备实施全生命周期质量跟踪服务，质量保证期不低于本规格书要求的使用寿命，产品使用寿命自设备验收合格之日起计算。质量承诺不因合同履行完毕而终止，其效力延续至产品生命周期终结。乙方须确保所供产品在全生命周期内持续符合国家及行业最新标准，并接受甲方在使用过程中的监督与抽检。乙方须在设备运行期间提供全周期技术支持，定期提交产品运行分析报告，配合甲方完成关键部件的寿命评估与预测性维护。</w:t>
      </w:r>
    </w:p>
    <w:p w14:paraId="44788AA6">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3.4 产品使用过程中出现质量问题时，甲方有权采取委托独立第三方对产品进行包括不限于物理性能、化学成分检验、失效分析等复检手段查明出现质量问题的根本原因，乙方应认可第三方检验报告的结论，第三方检测费用由乙方承担。乙方依据第三方检验报告，按甲方要求提供分析报告，包括质量溯源分析、改进措施，分析报告须由单位法人签字并盖公章。</w:t>
      </w:r>
    </w:p>
    <w:p w14:paraId="20FF297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4.其他</w:t>
      </w:r>
    </w:p>
    <w:p w14:paraId="4277B6B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4.1 </w:t>
      </w:r>
      <w:r>
        <w:rPr>
          <w:rFonts w:hint="eastAsia" w:ascii="宋体" w:hAnsi="宋体" w:eastAsia="宋体" w:cs="宋体"/>
          <w:color w:val="auto"/>
          <w:kern w:val="0"/>
          <w:sz w:val="24"/>
          <w:szCs w:val="28"/>
          <w:lang w:eastAsia="zh-CN"/>
        </w:rPr>
        <w:t>乙方在产品设计、制造中发生侵犯专利的行为时，其侵权责任与甲方无关。</w:t>
      </w:r>
      <w:r>
        <w:rPr>
          <w:rFonts w:hint="eastAsia" w:ascii="宋体" w:hAnsi="宋体" w:eastAsia="宋体" w:cs="宋体"/>
          <w:color w:val="auto"/>
          <w:kern w:val="0"/>
          <w:sz w:val="24"/>
          <w:szCs w:val="28"/>
          <w:lang w:val="en-US" w:eastAsia="zh-CN"/>
        </w:rPr>
        <w:t>甲方使用乙方提供的产品及服务时免受第三方提出的侵犯其专利权或其它知识产权的起诉。如果第三方提出侵权指控，乙方应承担由此而引起的一切法律责任和费用。</w:t>
      </w:r>
    </w:p>
    <w:p w14:paraId="4AC5062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4.2 乙方应提供不低于符合本规格书的近3年内至少5项成功应用业绩材料，并附用户反馈报告。</w:t>
      </w:r>
      <w:r>
        <w:rPr>
          <w:rFonts w:hint="eastAsia" w:ascii="宋体" w:hAnsi="宋体" w:eastAsia="宋体" w:cs="宋体"/>
          <w:color w:val="FF0000"/>
          <w:kern w:val="0"/>
          <w:sz w:val="24"/>
          <w:szCs w:val="28"/>
          <w:lang w:val="en-US" w:eastAsia="zh-CN"/>
        </w:rPr>
        <w:t>业绩材料应符合以下要求：（1）应用在铁矿石选矿厂；（2）年处理量400万吨以上；（3）提供供货合同、技术规格书、供货发票、原材料采购合同及发票。</w:t>
      </w:r>
    </w:p>
    <w:p w14:paraId="0E21CF9B">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4.3 乙方承诺提供的所有资料真实、有效、完整、可验证，若提供虚假资料或隐瞒技术缺陷，一经发现，乙方须承担由此引起的一切经济与法律责任，并赔偿甲方因此遭受的全部损失。</w:t>
      </w:r>
    </w:p>
    <w:p w14:paraId="65FB77D4">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4.4 招标前，乙方应与甲方进行技术交流，呈报不低于本规格书要求的证明材料，确保符合甲方技术要求，双方签标前技术规格书。</w:t>
      </w:r>
    </w:p>
    <w:p w14:paraId="28F84BEE">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4.5供货产品必须为：迪纳恩（兰州）传动设备有限公司、嘉峪关联重机械设备有限公司、河北铠源输送机有限公司。</w:t>
      </w:r>
    </w:p>
    <w:p w14:paraId="31F85553">
      <w:pPr>
        <w:numPr>
          <w:ilvl w:val="0"/>
          <w:numId w:val="1"/>
        </w:numPr>
        <w:adjustRightInd w:val="0"/>
        <w:snapToGrid w:val="0"/>
        <w:spacing w:line="360" w:lineRule="auto"/>
        <w:ind w:right="-15"/>
        <w:jc w:val="left"/>
        <w:textAlignment w:val="baseline"/>
        <w:rPr>
          <w:rFonts w:hint="eastAsia" w:ascii="宋体" w:hAnsi="宋体" w:eastAsia="宋体" w:cs="宋体"/>
          <w:b/>
          <w:bCs/>
          <w:color w:val="auto"/>
          <w:kern w:val="0"/>
          <w:sz w:val="24"/>
          <w:szCs w:val="28"/>
          <w:lang w:val="en-US" w:eastAsia="zh-CN"/>
        </w:rPr>
      </w:pPr>
      <w:r>
        <w:rPr>
          <w:rFonts w:hint="eastAsia" w:ascii="宋体" w:hAnsi="宋体" w:eastAsia="宋体" w:cs="宋体"/>
          <w:b/>
          <w:bCs/>
          <w:color w:val="auto"/>
          <w:kern w:val="0"/>
          <w:sz w:val="24"/>
          <w:szCs w:val="28"/>
          <w:lang w:val="en-US" w:eastAsia="zh-CN"/>
        </w:rPr>
        <w:t>制造要求</w:t>
      </w:r>
    </w:p>
    <w:p w14:paraId="5C2F54D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 使用环境</w:t>
      </w:r>
    </w:p>
    <w:p w14:paraId="4E8A0CF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1.1 环境条件</w:t>
      </w:r>
    </w:p>
    <w:p w14:paraId="6BFAB26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最高温度：         38.4℃</w:t>
      </w:r>
    </w:p>
    <w:p w14:paraId="7538A35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最低温度：         -31.6℃</w:t>
      </w:r>
    </w:p>
    <w:p w14:paraId="6A673BF9">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夏季最高平均温度： 28.7℃</w:t>
      </w:r>
    </w:p>
    <w:p w14:paraId="6E66C2F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冬季最低平均温度： -15.6℃</w:t>
      </w:r>
    </w:p>
    <w:p w14:paraId="3074DC4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日最大温差：       14℃</w:t>
      </w:r>
    </w:p>
    <w:p w14:paraId="3D8A65C5">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年平均温度：       7.3℃</w:t>
      </w:r>
    </w:p>
    <w:p w14:paraId="02F5670B">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相对湿度：         46%</w:t>
      </w:r>
    </w:p>
    <w:p w14:paraId="2FE1385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夏季平均湿度：     52%</w:t>
      </w:r>
    </w:p>
    <w:p w14:paraId="01F58BA8">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冬季平均湿度：     55%</w:t>
      </w:r>
    </w:p>
    <w:p w14:paraId="7730898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海拔高度           1614～1620m</w:t>
      </w:r>
    </w:p>
    <w:p w14:paraId="228328A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1.2厂址位置：甘肃省嘉峪关市酒钢厂区</w:t>
      </w:r>
    </w:p>
    <w:p w14:paraId="1AE1684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2.产品使用工况</w:t>
      </w:r>
    </w:p>
    <w:p w14:paraId="747E3FE4">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2.1 设备用途：</w:t>
      </w:r>
    </w:p>
    <w:p w14:paraId="23F8AD79">
      <w:pPr>
        <w:adjustRightInd w:val="0"/>
        <w:snapToGrid w:val="0"/>
        <w:spacing w:line="360" w:lineRule="auto"/>
        <w:ind w:right="-15" w:firstLine="600" w:firstLineChars="250"/>
        <w:jc w:val="left"/>
        <w:textAlignment w:val="baseline"/>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酒钢选矿厂精矿皮带，用于带式输送机上下纠偏场景，</w:t>
      </w:r>
      <w:r>
        <w:rPr>
          <w:rFonts w:hint="eastAsia" w:ascii="宋体" w:hAnsi="宋体" w:eastAsia="宋体" w:cs="宋体"/>
          <w:color w:val="auto"/>
          <w:kern w:val="0"/>
          <w:sz w:val="24"/>
          <w:szCs w:val="28"/>
          <w:lang w:val="en-US" w:eastAsia="en-US"/>
        </w:rPr>
        <w:t>带速：</w:t>
      </w:r>
      <w:r>
        <w:rPr>
          <w:rFonts w:hint="eastAsia" w:ascii="宋体" w:hAnsi="宋体" w:eastAsia="宋体" w:cs="宋体"/>
          <w:color w:val="auto"/>
          <w:kern w:val="0"/>
          <w:sz w:val="24"/>
          <w:szCs w:val="28"/>
          <w:lang w:val="en-US" w:eastAsia="zh-CN"/>
        </w:rPr>
        <w:t>1.6</w:t>
      </w:r>
      <w:r>
        <w:rPr>
          <w:rFonts w:hint="eastAsia" w:ascii="宋体" w:hAnsi="宋体" w:eastAsia="宋体" w:cs="宋体"/>
          <w:color w:val="auto"/>
          <w:kern w:val="0"/>
          <w:sz w:val="24"/>
          <w:szCs w:val="28"/>
          <w:lang w:val="en-US" w:eastAsia="en-US"/>
        </w:rPr>
        <w:t>m/s</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lang w:val="en-US" w:eastAsia="en-US"/>
        </w:rPr>
        <w:t xml:space="preserve"> </w:t>
      </w:r>
      <w:r>
        <w:rPr>
          <w:rFonts w:hint="eastAsia" w:ascii="宋体" w:hAnsi="宋体" w:eastAsia="宋体" w:cs="宋体"/>
          <w:color w:val="auto"/>
          <w:kern w:val="0"/>
          <w:sz w:val="24"/>
          <w:szCs w:val="28"/>
          <w:lang w:val="en-US" w:eastAsia="zh-CN"/>
        </w:rPr>
        <w:t>最大瞬时</w:t>
      </w:r>
      <w:r>
        <w:rPr>
          <w:rFonts w:hint="eastAsia" w:ascii="宋体" w:hAnsi="宋体" w:eastAsia="宋体" w:cs="宋体"/>
          <w:color w:val="auto"/>
          <w:kern w:val="0"/>
          <w:sz w:val="24"/>
          <w:szCs w:val="28"/>
          <w:lang w:val="en-US" w:eastAsia="en-US"/>
        </w:rPr>
        <w:t>输送量1</w:t>
      </w:r>
      <w:r>
        <w:rPr>
          <w:rFonts w:hint="eastAsia" w:ascii="宋体" w:hAnsi="宋体" w:eastAsia="宋体" w:cs="宋体"/>
          <w:color w:val="auto"/>
          <w:kern w:val="0"/>
          <w:sz w:val="24"/>
          <w:szCs w:val="28"/>
          <w:lang w:val="en-US" w:eastAsia="zh-CN"/>
        </w:rPr>
        <w:t>35</w:t>
      </w:r>
      <w:r>
        <w:rPr>
          <w:rFonts w:hint="eastAsia" w:ascii="宋体" w:hAnsi="宋体" w:eastAsia="宋体" w:cs="宋体"/>
          <w:color w:val="auto"/>
          <w:kern w:val="0"/>
          <w:sz w:val="24"/>
          <w:szCs w:val="28"/>
          <w:lang w:val="en-US" w:eastAsia="en-US"/>
        </w:rPr>
        <w:t xml:space="preserve">0t/h </w:t>
      </w:r>
    </w:p>
    <w:p w14:paraId="26BE5CF0">
      <w:pPr>
        <w:pStyle w:val="3"/>
        <w:spacing w:before="158" w:line="229" w:lineRule="auto"/>
        <w:ind w:left="431"/>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2.2 物料参数：</w:t>
      </w:r>
    </w:p>
    <w:p w14:paraId="424C2DB7">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en-US"/>
        </w:rPr>
      </w:pPr>
      <w:r>
        <w:rPr>
          <w:rFonts w:hint="eastAsia" w:ascii="宋体" w:hAnsi="宋体" w:eastAsia="宋体" w:cs="宋体"/>
          <w:color w:val="auto"/>
          <w:kern w:val="0"/>
          <w:sz w:val="24"/>
          <w:szCs w:val="28"/>
          <w:lang w:val="en-US" w:eastAsia="zh-CN"/>
        </w:rPr>
        <w:t>铁精粉水封12%-14%</w:t>
      </w:r>
      <w:r>
        <w:rPr>
          <w:rFonts w:hint="eastAsia" w:ascii="宋体" w:hAnsi="宋体" w:eastAsia="宋体" w:cs="宋体"/>
          <w:color w:val="auto"/>
          <w:kern w:val="0"/>
          <w:sz w:val="24"/>
          <w:szCs w:val="28"/>
          <w:lang w:val="en-US" w:eastAsia="en-US"/>
        </w:rPr>
        <w:t>料；粒度：</w:t>
      </w:r>
      <w:r>
        <w:rPr>
          <w:rFonts w:hint="eastAsia" w:ascii="宋体" w:hAnsi="宋体" w:eastAsia="宋体" w:cs="宋体"/>
          <w:color w:val="auto"/>
          <w:kern w:val="0"/>
          <w:sz w:val="24"/>
          <w:szCs w:val="28"/>
          <w:lang w:val="en-US" w:eastAsia="zh-CN"/>
        </w:rPr>
        <w:t>3</w:t>
      </w:r>
      <w:r>
        <w:rPr>
          <w:rFonts w:hint="eastAsia" w:ascii="宋体" w:hAnsi="宋体" w:eastAsia="宋体" w:cs="宋体"/>
          <w:color w:val="auto"/>
          <w:kern w:val="0"/>
          <w:sz w:val="24"/>
          <w:szCs w:val="28"/>
          <w:lang w:val="en-US" w:eastAsia="en-US"/>
        </w:rPr>
        <w:t>～</w:t>
      </w:r>
      <w:r>
        <w:rPr>
          <w:rFonts w:hint="eastAsia" w:ascii="宋体" w:hAnsi="宋体" w:eastAsia="宋体" w:cs="宋体"/>
          <w:color w:val="auto"/>
          <w:kern w:val="0"/>
          <w:sz w:val="24"/>
          <w:szCs w:val="28"/>
          <w:lang w:val="en-US" w:eastAsia="zh-CN"/>
        </w:rPr>
        <w:t>10</w:t>
      </w:r>
      <w:r>
        <w:rPr>
          <w:rFonts w:hint="eastAsia" w:ascii="宋体" w:hAnsi="宋体" w:eastAsia="宋体" w:cs="宋体"/>
          <w:color w:val="auto"/>
          <w:kern w:val="0"/>
          <w:sz w:val="24"/>
          <w:szCs w:val="28"/>
          <w:lang w:val="en-US" w:eastAsia="en-US"/>
        </w:rPr>
        <w:t>mm；松散密度 (t/m3)：</w:t>
      </w:r>
      <w:r>
        <w:rPr>
          <w:rFonts w:hint="eastAsia" w:ascii="宋体" w:hAnsi="宋体" w:eastAsia="宋体" w:cs="宋体"/>
          <w:color w:val="auto"/>
          <w:kern w:val="0"/>
          <w:sz w:val="24"/>
          <w:szCs w:val="28"/>
          <w:lang w:val="en-US" w:eastAsia="zh-CN"/>
        </w:rPr>
        <w:t>3</w:t>
      </w:r>
      <w:r>
        <w:rPr>
          <w:rFonts w:hint="eastAsia" w:ascii="宋体" w:hAnsi="宋体" w:eastAsia="宋体" w:cs="宋体"/>
          <w:color w:val="auto"/>
          <w:kern w:val="0"/>
          <w:sz w:val="24"/>
          <w:szCs w:val="28"/>
          <w:lang w:val="en-US" w:eastAsia="en-US"/>
        </w:rPr>
        <w:t>t/m3</w:t>
      </w:r>
    </w:p>
    <w:p w14:paraId="2121BD8E">
      <w:pPr>
        <w:adjustRightInd w:val="0"/>
        <w:snapToGrid w:val="0"/>
        <w:spacing w:line="360" w:lineRule="auto"/>
        <w:ind w:right="-15" w:firstLine="600" w:firstLineChars="250"/>
        <w:jc w:val="left"/>
        <w:textAlignment w:val="baseline"/>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3、制造标准</w:t>
      </w:r>
    </w:p>
    <w:p w14:paraId="6A0C25C7">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3.1 依据供货厂家相关标准、技术要求及加工工艺，不低于以下标准相关要求：</w:t>
      </w:r>
    </w:p>
    <w:p w14:paraId="4A66E739">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《DTⅡ型固定式带式输送机设计选用手册》</w:t>
      </w:r>
    </w:p>
    <w:p w14:paraId="25192D66">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Q/HGL 003-2019《纠偏托辊企业标准》</w:t>
      </w:r>
    </w:p>
    <w:p w14:paraId="3E5F900A">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GB/T 276《滚动轴承尺寸》</w:t>
      </w:r>
    </w:p>
    <w:p w14:paraId="20E93FD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产品检验符合JB/5000.1-1998《产品检验通用技术条件》</w:t>
      </w:r>
    </w:p>
    <w:p w14:paraId="5B12922C">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切削加工符合JB/5000.9-1998《切削加工通用技术条件》</w:t>
      </w:r>
    </w:p>
    <w:p w14:paraId="75164895">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焊接件符合JB</w:t>
      </w:r>
      <w:r>
        <w:rPr>
          <w:rFonts w:hint="eastAsia" w:ascii="宋体" w:hAnsi="宋体" w:eastAsia="宋体" w:cs="宋体"/>
          <w:color w:val="auto"/>
          <w:kern w:val="0"/>
          <w:sz w:val="24"/>
          <w:szCs w:val="28"/>
          <w:lang w:val="en-US" w:eastAsia="zh-CN"/>
        </w:rPr>
        <w:tab/>
      </w:r>
      <w:r>
        <w:rPr>
          <w:rFonts w:hint="eastAsia" w:ascii="宋体" w:hAnsi="宋体" w:eastAsia="宋体" w:cs="宋体"/>
          <w:color w:val="auto"/>
          <w:kern w:val="0"/>
          <w:sz w:val="24"/>
          <w:szCs w:val="28"/>
          <w:lang w:val="en-US" w:eastAsia="zh-CN"/>
        </w:rPr>
        <w:t>/5000.3-1998《焊接通用技术条件》</w:t>
      </w:r>
    </w:p>
    <w:p w14:paraId="436729B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装配符合JB/5000.2-1998《装配通用技术条件》</w:t>
      </w:r>
    </w:p>
    <w:p w14:paraId="77FC403B">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涂装符合JB/5000.10-1998《涂装通用技术条件》</w:t>
      </w:r>
    </w:p>
    <w:p w14:paraId="33A8823A">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包装符合JB/5000.13-1998《包装通用技术条件》</w:t>
      </w:r>
    </w:p>
    <w:p w14:paraId="247F7683">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MT/T113-1995《煤矿井下用 聚合物制品阻燃抗静电性通用试验方法和判定规则》</w:t>
      </w:r>
    </w:p>
    <w:p w14:paraId="6054F63B">
      <w:pPr>
        <w:numPr>
          <w:ilvl w:val="0"/>
          <w:numId w:val="3"/>
        </w:num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技术要求</w:t>
      </w:r>
    </w:p>
    <w:p w14:paraId="07E09435">
      <w:pPr>
        <w:adjustRightInd w:val="0"/>
        <w:snapToGrid w:val="0"/>
        <w:spacing w:line="360" w:lineRule="auto"/>
        <w:ind w:right="-15" w:firstLine="600" w:firstLineChars="250"/>
        <w:jc w:val="left"/>
        <w:textAlignment w:val="baseline"/>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4.1托辊及机架</w:t>
      </w:r>
    </w:p>
    <w:p w14:paraId="596D1161">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锥形包胶托辊与胶带之间的滑动摩擦系数≥0.8。</w:t>
      </w:r>
    </w:p>
    <w:p w14:paraId="361EE194">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锥形包胶托辊轴向窜动≤0.5mm，径向跳动≤0.3mm，托辊管壁厚度≥5mm；橡胶包覆层厚度≥8mm。</w:t>
      </w:r>
    </w:p>
    <w:p w14:paraId="5E158856">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锥形包胶托辊轴承座的壁厚≥5mm，整体铸造。</w:t>
      </w:r>
    </w:p>
    <w:p w14:paraId="52656702">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锥形包胶托辊五层密封：防尘端盖、O型圈、双层迷宫油封、防水密封。</w:t>
      </w:r>
    </w:p>
    <w:p w14:paraId="23492974">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机架材质Q235，表面热镀锌。</w:t>
      </w:r>
    </w:p>
    <w:p w14:paraId="57ABF730">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锥形包胶托辊橡胶包覆层阻燃及抗静电性能必须满足MT/T113-1995《煤矿井下用聚合物制品阻燃抗静电性通用试验方法和判定规则》要求。</w:t>
      </w:r>
    </w:p>
    <w:p w14:paraId="1C5E67CA">
      <w:pPr>
        <w:adjustRightInd w:val="0"/>
        <w:snapToGrid w:val="0"/>
        <w:spacing w:line="360" w:lineRule="auto"/>
        <w:ind w:right="-15" w:firstLine="600" w:firstLineChars="250"/>
        <w:jc w:val="left"/>
        <w:textAlignment w:val="baseline"/>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4.2性能及要求</w:t>
      </w:r>
    </w:p>
    <w:p w14:paraId="79EF435E">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辊轮纠偏装置采用新颖的专利技术生产的产品，使用锥形包胶托辊，两个锥形包胶托辊对称布置，通过支撑架安装在中心转轴上；当胶带跑偏时，在无动力源的情况下依靠托辊自身与中心转轴的旋转，带动胶带回到中心位置。</w:t>
      </w:r>
    </w:p>
    <w:p w14:paraId="476C0A1B">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包含一套独特的中心转轴，配套进口品牌推力轴承及滑动轴承，确保该系统具有良好的动平衡性能、动作灵活。中心转轴为全封闭系统，在高粉尘、潮湿等恶劣工况下保证良好的密封性能。</w:t>
      </w:r>
    </w:p>
    <w:p w14:paraId="384F211A">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辊轮自动纠偏装置设计寿命不低于 30000 小时，纯机械、免维护。</w:t>
      </w:r>
    </w:p>
    <w:p w14:paraId="566E39B0">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辊轮自动纠偏装置满足间断、连续自动运行的要求。</w:t>
      </w:r>
    </w:p>
    <w:p w14:paraId="25373C23">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辊轮自动纠偏装置安装于高潮湿、高盐雾环境，确保可靠运行。</w:t>
      </w:r>
    </w:p>
    <w:p w14:paraId="07D9F184">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辊轮表面包铸特种橡胶，保证传送带和辊轮表面的良好接触和摩擦。</w:t>
      </w:r>
    </w:p>
    <w:p w14:paraId="20226544">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轴承盒以及前后密封圈密封严实，确保在恶劣的环境下有效的密封性。</w:t>
      </w:r>
    </w:p>
    <w:p w14:paraId="1FFCB574">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en-US"/>
        </w:rPr>
      </w:pPr>
      <w:r>
        <w:rPr>
          <w:rFonts w:hint="eastAsia" w:ascii="宋体" w:hAnsi="宋体" w:eastAsia="宋体" w:cs="宋体"/>
          <w:color w:val="auto"/>
          <w:kern w:val="0"/>
          <w:sz w:val="24"/>
          <w:szCs w:val="28"/>
          <w:lang w:val="en-US" w:eastAsia="zh-CN"/>
        </w:rPr>
        <w:t>辊轮自动纠偏装置动作灵活，能够自动检测皮带跑偏的趋势并能实现追踪实时纠偏，当皮带出现跑偏时能在 5S 内 自动纠正，</w:t>
      </w:r>
      <w:r>
        <w:rPr>
          <w:rFonts w:hint="eastAsia" w:ascii="宋体" w:hAnsi="宋体" w:eastAsia="宋体" w:cs="宋体"/>
          <w:color w:val="auto"/>
          <w:kern w:val="0"/>
          <w:sz w:val="24"/>
          <w:szCs w:val="28"/>
          <w:lang w:val="en-US" w:eastAsia="en-US"/>
        </w:rPr>
        <w:t>使皮带始终在正确的带轨中心上运行。</w:t>
      </w:r>
    </w:p>
    <w:p w14:paraId="2CF9AC13">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为确保辊轮纠偏装置与皮带保持良好的摩擦力和纠偏力，以使安装达到预期效果，辊子表面聚氨酯包胶增摩导正范围±60mm。安装完成后，保证瞬时皮带的跑偏量自动控制在国标范围内纠偏精度±2mm，空载运行时保证 皮带机运行时最大跑偏量不得超过带宽的 3%，重载运行时保证皮带机运行时最大跑偏量不 得超过带宽的5%，杜绝皮带边缘的磨损现象。</w:t>
      </w:r>
    </w:p>
    <w:p w14:paraId="19444E6A">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 自动纠偏装置的结构具有高低方向、带宽方向伸缩可调整性，确保在线安装时 角度灵活可调，从而以达到最佳使用效果</w:t>
      </w:r>
    </w:p>
    <w:p w14:paraId="2F78597D">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重载自适应辊轮自动纠偏装置纯机械、免维护。</w:t>
      </w:r>
    </w:p>
    <w:p w14:paraId="248D4DBE">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锥形包胶托辊与胶带之间的滑动摩擦系数≥0.8。</w:t>
      </w:r>
    </w:p>
    <w:p w14:paraId="5BB06E20">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锥形包胶托辊轴向窜动≤0.5mm，径向跳动≤0.3mm，托辊管壁厚度≥5mm；橡胶包覆层厚度≥8mm。</w:t>
      </w:r>
    </w:p>
    <w:p w14:paraId="5ABE8D5E">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锥形包胶托辊轴承座的壁厚≥5mm，整体铸造。</w:t>
      </w:r>
    </w:p>
    <w:p w14:paraId="407D3164">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锥形包胶托辊五层密封：防尘端盖、O 型圈、双层迷宫油封、防水密封。</w:t>
      </w:r>
    </w:p>
    <w:p w14:paraId="062DE41D">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right="-17" w:firstLine="480" w:firstLineChars="200"/>
        <w:jc w:val="left"/>
        <w:textAlignment w:val="baseline"/>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机架材质 Q235，表面热镀锌。</w:t>
      </w:r>
    </w:p>
    <w:p w14:paraId="1129BFB1">
      <w:pPr>
        <w:adjustRightInd w:val="0"/>
        <w:snapToGrid w:val="0"/>
        <w:spacing w:line="360" w:lineRule="auto"/>
        <w:ind w:right="-15" w:firstLine="602"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三、供货清单</w:t>
      </w:r>
    </w:p>
    <w:tbl>
      <w:tblPr>
        <w:tblStyle w:val="7"/>
        <w:tblW w:w="9232" w:type="dxa"/>
        <w:tblInd w:w="-2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
        <w:gridCol w:w="1295"/>
        <w:gridCol w:w="3629"/>
        <w:gridCol w:w="1890"/>
        <w:gridCol w:w="780"/>
        <w:gridCol w:w="1174"/>
      </w:tblGrid>
      <w:tr w14:paraId="79FC0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464" w:type="dxa"/>
            <w:textDirection w:val="tbRlV"/>
            <w:vAlign w:val="top"/>
          </w:tcPr>
          <w:p w14:paraId="195C427C">
            <w:pPr>
              <w:pStyle w:val="8"/>
              <w:spacing w:before="157" w:line="209" w:lineRule="auto"/>
              <w:ind w:left="35"/>
              <w:rPr>
                <w:rFonts w:hint="eastAsia" w:ascii="宋体" w:hAnsi="宋体" w:eastAsia="宋体" w:cs="宋体"/>
                <w:sz w:val="24"/>
                <w:szCs w:val="24"/>
              </w:rPr>
            </w:pPr>
            <w:r>
              <w:rPr>
                <w:rFonts w:hint="eastAsia" w:ascii="宋体" w:hAnsi="宋体" w:eastAsia="宋体" w:cs="宋体"/>
                <w:spacing w:val="13"/>
                <w:sz w:val="24"/>
                <w:szCs w:val="24"/>
              </w:rPr>
              <w:t>序</w:t>
            </w:r>
            <w:r>
              <w:rPr>
                <w:rFonts w:hint="eastAsia" w:ascii="宋体" w:hAnsi="宋体" w:eastAsia="宋体" w:cs="宋体"/>
                <w:spacing w:val="94"/>
                <w:sz w:val="24"/>
                <w:szCs w:val="24"/>
              </w:rPr>
              <w:t xml:space="preserve"> </w:t>
            </w:r>
            <w:r>
              <w:rPr>
                <w:rFonts w:hint="eastAsia" w:ascii="宋体" w:hAnsi="宋体" w:eastAsia="宋体" w:cs="宋体"/>
                <w:spacing w:val="13"/>
                <w:sz w:val="24"/>
                <w:szCs w:val="24"/>
              </w:rPr>
              <w:t>号</w:t>
            </w:r>
          </w:p>
        </w:tc>
        <w:tc>
          <w:tcPr>
            <w:tcW w:w="1295" w:type="dxa"/>
            <w:vAlign w:val="top"/>
          </w:tcPr>
          <w:p w14:paraId="1AFBC241">
            <w:pPr>
              <w:pStyle w:val="8"/>
              <w:spacing w:before="238" w:line="232" w:lineRule="auto"/>
              <w:ind w:left="412"/>
              <w:rPr>
                <w:rFonts w:hint="eastAsia" w:ascii="宋体" w:hAnsi="宋体" w:eastAsia="宋体" w:cs="宋体"/>
                <w:sz w:val="24"/>
                <w:szCs w:val="24"/>
              </w:rPr>
            </w:pPr>
            <w:r>
              <w:rPr>
                <w:rFonts w:hint="eastAsia" w:ascii="宋体" w:hAnsi="宋体" w:eastAsia="宋体" w:cs="宋体"/>
                <w:spacing w:val="-1"/>
                <w:sz w:val="24"/>
                <w:szCs w:val="24"/>
              </w:rPr>
              <w:t>代号</w:t>
            </w:r>
          </w:p>
        </w:tc>
        <w:tc>
          <w:tcPr>
            <w:tcW w:w="3629" w:type="dxa"/>
            <w:vAlign w:val="top"/>
          </w:tcPr>
          <w:p w14:paraId="4391D12A">
            <w:pPr>
              <w:pStyle w:val="8"/>
              <w:spacing w:before="239" w:line="229" w:lineRule="auto"/>
              <w:ind w:left="1491"/>
              <w:rPr>
                <w:rFonts w:hint="eastAsia" w:ascii="宋体" w:hAnsi="宋体" w:eastAsia="宋体" w:cs="宋体"/>
                <w:sz w:val="24"/>
                <w:szCs w:val="24"/>
              </w:rPr>
            </w:pPr>
            <w:r>
              <w:rPr>
                <w:rFonts w:hint="eastAsia" w:ascii="宋体" w:hAnsi="宋体" w:eastAsia="宋体" w:cs="宋体"/>
                <w:spacing w:val="1"/>
                <w:sz w:val="24"/>
                <w:szCs w:val="24"/>
              </w:rPr>
              <w:t>名称</w:t>
            </w:r>
          </w:p>
        </w:tc>
        <w:tc>
          <w:tcPr>
            <w:tcW w:w="1890" w:type="dxa"/>
            <w:tcBorders>
              <w:bottom w:val="single" w:color="auto" w:sz="4" w:space="0"/>
            </w:tcBorders>
            <w:vAlign w:val="top"/>
          </w:tcPr>
          <w:p w14:paraId="4510C229">
            <w:pPr>
              <w:pStyle w:val="8"/>
              <w:spacing w:before="238" w:line="232" w:lineRule="auto"/>
              <w:ind w:left="218"/>
              <w:rPr>
                <w:rFonts w:hint="eastAsia" w:ascii="宋体" w:hAnsi="宋体" w:eastAsia="宋体" w:cs="宋体"/>
                <w:sz w:val="24"/>
                <w:szCs w:val="24"/>
              </w:rPr>
            </w:pPr>
            <w:r>
              <w:rPr>
                <w:rFonts w:hint="eastAsia" w:ascii="宋体" w:hAnsi="宋体" w:eastAsia="宋体" w:cs="宋体"/>
                <w:spacing w:val="2"/>
                <w:sz w:val="24"/>
                <w:szCs w:val="24"/>
              </w:rPr>
              <w:t>数量</w:t>
            </w:r>
          </w:p>
        </w:tc>
        <w:tc>
          <w:tcPr>
            <w:tcW w:w="780" w:type="dxa"/>
            <w:tcBorders>
              <w:bottom w:val="single" w:color="auto" w:sz="4" w:space="0"/>
            </w:tcBorders>
            <w:vAlign w:val="top"/>
          </w:tcPr>
          <w:p w14:paraId="52851ED0">
            <w:pPr>
              <w:pStyle w:val="8"/>
              <w:spacing w:before="239" w:line="229" w:lineRule="auto"/>
              <w:ind w:left="125"/>
              <w:rPr>
                <w:rFonts w:hint="eastAsia" w:ascii="宋体" w:hAnsi="宋体" w:eastAsia="宋体" w:cs="宋体"/>
                <w:sz w:val="24"/>
                <w:szCs w:val="24"/>
              </w:rPr>
            </w:pPr>
            <w:r>
              <w:rPr>
                <w:rFonts w:hint="eastAsia" w:ascii="宋体" w:hAnsi="宋体" w:eastAsia="宋体" w:cs="宋体"/>
                <w:spacing w:val="-1"/>
                <w:sz w:val="24"/>
                <w:szCs w:val="24"/>
              </w:rPr>
              <w:t>单位</w:t>
            </w:r>
          </w:p>
        </w:tc>
        <w:tc>
          <w:tcPr>
            <w:tcW w:w="1174" w:type="dxa"/>
            <w:tcBorders>
              <w:bottom w:val="single" w:color="auto" w:sz="4" w:space="0"/>
            </w:tcBorders>
            <w:vAlign w:val="top"/>
          </w:tcPr>
          <w:p w14:paraId="0F1170B4">
            <w:pPr>
              <w:pStyle w:val="8"/>
              <w:spacing w:before="239" w:line="233" w:lineRule="auto"/>
              <w:ind w:left="648"/>
              <w:rPr>
                <w:rFonts w:hint="eastAsia" w:ascii="宋体" w:hAnsi="宋体" w:eastAsia="宋体" w:cs="宋体"/>
                <w:sz w:val="24"/>
                <w:szCs w:val="24"/>
              </w:rPr>
            </w:pPr>
            <w:r>
              <w:rPr>
                <w:rFonts w:hint="eastAsia" w:ascii="宋体" w:hAnsi="宋体" w:eastAsia="宋体" w:cs="宋体"/>
                <w:spacing w:val="1"/>
                <w:sz w:val="24"/>
                <w:szCs w:val="24"/>
              </w:rPr>
              <w:t>备注</w:t>
            </w:r>
          </w:p>
        </w:tc>
      </w:tr>
      <w:tr w14:paraId="3BA34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464" w:type="dxa"/>
            <w:vAlign w:val="top"/>
          </w:tcPr>
          <w:p w14:paraId="0D77B220">
            <w:pPr>
              <w:spacing w:line="283" w:lineRule="auto"/>
              <w:rPr>
                <w:rFonts w:hint="eastAsia" w:ascii="宋体" w:hAnsi="宋体" w:eastAsia="宋体" w:cs="宋体"/>
                <w:sz w:val="24"/>
                <w:szCs w:val="24"/>
              </w:rPr>
            </w:pPr>
          </w:p>
          <w:p w14:paraId="5386057F">
            <w:pPr>
              <w:pStyle w:val="8"/>
              <w:spacing w:before="61" w:line="187" w:lineRule="auto"/>
              <w:ind w:left="231"/>
              <w:rPr>
                <w:rFonts w:hint="eastAsia" w:ascii="宋体" w:hAnsi="宋体" w:eastAsia="宋体" w:cs="宋体"/>
                <w:sz w:val="24"/>
                <w:szCs w:val="24"/>
              </w:rPr>
            </w:pPr>
            <w:r>
              <w:rPr>
                <w:rFonts w:hint="eastAsia" w:ascii="宋体" w:hAnsi="宋体" w:eastAsia="宋体" w:cs="宋体"/>
                <w:sz w:val="24"/>
                <w:szCs w:val="24"/>
              </w:rPr>
              <w:t>1</w:t>
            </w:r>
          </w:p>
        </w:tc>
        <w:tc>
          <w:tcPr>
            <w:tcW w:w="1295" w:type="dxa"/>
            <w:vAlign w:val="top"/>
          </w:tcPr>
          <w:p w14:paraId="5A9F2515">
            <w:pPr>
              <w:spacing w:line="282" w:lineRule="auto"/>
              <w:rPr>
                <w:rFonts w:hint="eastAsia" w:ascii="宋体" w:hAnsi="宋体" w:eastAsia="宋体" w:cs="宋体"/>
                <w:sz w:val="24"/>
                <w:szCs w:val="24"/>
              </w:rPr>
            </w:pPr>
          </w:p>
          <w:p w14:paraId="4175106A">
            <w:pPr>
              <w:pStyle w:val="8"/>
              <w:spacing w:before="62" w:line="187" w:lineRule="auto"/>
              <w:ind w:left="216"/>
              <w:rPr>
                <w:rFonts w:hint="eastAsia" w:ascii="宋体" w:hAnsi="宋体" w:eastAsia="宋体" w:cs="宋体"/>
                <w:sz w:val="24"/>
                <w:szCs w:val="24"/>
              </w:rPr>
            </w:pPr>
            <w:r>
              <w:rPr>
                <w:rFonts w:hint="eastAsia" w:ascii="宋体" w:hAnsi="宋体" w:eastAsia="宋体" w:cs="宋体"/>
                <w:spacing w:val="3"/>
                <w:sz w:val="24"/>
                <w:szCs w:val="24"/>
              </w:rPr>
              <w:t>70195286</w:t>
            </w:r>
          </w:p>
        </w:tc>
        <w:tc>
          <w:tcPr>
            <w:tcW w:w="3629" w:type="dxa"/>
            <w:tcBorders>
              <w:right w:val="single" w:color="auto" w:sz="4" w:space="0"/>
            </w:tcBorders>
            <w:vAlign w:val="top"/>
          </w:tcPr>
          <w:p w14:paraId="4229A571">
            <w:pPr>
              <w:pStyle w:val="8"/>
              <w:spacing w:before="132" w:line="282" w:lineRule="auto"/>
              <w:ind w:right="385"/>
              <w:rPr>
                <w:rFonts w:hint="eastAsia" w:ascii="宋体" w:hAnsi="宋体" w:eastAsia="宋体" w:cs="宋体"/>
                <w:spacing w:val="8"/>
                <w:sz w:val="24"/>
                <w:szCs w:val="24"/>
              </w:rPr>
            </w:pPr>
            <w:r>
              <w:rPr>
                <w:rFonts w:hint="eastAsia" w:ascii="宋体" w:hAnsi="宋体" w:eastAsia="宋体" w:cs="宋体"/>
                <w:spacing w:val="8"/>
                <w:sz w:val="24"/>
                <w:szCs w:val="24"/>
              </w:rPr>
              <w:t>重载自适应辊轮自动纠偏装置 \SG1200/REV-V2</w:t>
            </w:r>
          </w:p>
        </w:tc>
        <w:tc>
          <w:tcPr>
            <w:tcW w:w="1890" w:type="dxa"/>
            <w:tcBorders>
              <w:top w:val="single" w:color="auto" w:sz="4" w:space="0"/>
              <w:left w:val="single" w:color="auto" w:sz="4" w:space="0"/>
              <w:bottom w:val="single" w:color="auto" w:sz="4" w:space="0"/>
              <w:right w:val="single" w:color="auto" w:sz="4" w:space="0"/>
            </w:tcBorders>
            <w:vAlign w:val="top"/>
          </w:tcPr>
          <w:p w14:paraId="1607377F">
            <w:pPr>
              <w:pStyle w:val="8"/>
              <w:spacing w:before="132" w:line="282" w:lineRule="auto"/>
              <w:ind w:right="385"/>
              <w:rPr>
                <w:rFonts w:hint="eastAsia" w:ascii="宋体" w:hAnsi="宋体" w:eastAsia="宋体" w:cs="宋体"/>
                <w:b/>
                <w:bCs/>
                <w:spacing w:val="8"/>
                <w:sz w:val="24"/>
                <w:szCs w:val="24"/>
              </w:rPr>
            </w:pPr>
            <w:r>
              <w:rPr>
                <w:rFonts w:hint="eastAsia" w:ascii="宋体" w:hAnsi="宋体" w:eastAsia="宋体" w:cs="宋体"/>
                <w:i w:val="0"/>
                <w:iCs w:val="0"/>
                <w:color w:val="000000"/>
                <w:kern w:val="0"/>
                <w:sz w:val="24"/>
                <w:szCs w:val="24"/>
                <w:u w:val="none"/>
                <w:lang w:val="en-US" w:eastAsia="zh-CN" w:bidi="ar"/>
              </w:rPr>
              <w:t>依据采购合同</w:t>
            </w:r>
          </w:p>
        </w:tc>
        <w:tc>
          <w:tcPr>
            <w:tcW w:w="780" w:type="dxa"/>
            <w:tcBorders>
              <w:top w:val="single" w:color="auto" w:sz="4" w:space="0"/>
              <w:left w:val="single" w:color="auto" w:sz="4" w:space="0"/>
              <w:bottom w:val="single" w:color="auto" w:sz="4" w:space="0"/>
              <w:right w:val="single" w:color="auto" w:sz="4" w:space="0"/>
            </w:tcBorders>
            <w:vAlign w:val="top"/>
          </w:tcPr>
          <w:p w14:paraId="1A91BC2C">
            <w:pPr>
              <w:pStyle w:val="8"/>
              <w:spacing w:before="224" w:line="184" w:lineRule="auto"/>
              <w:ind w:left="227"/>
              <w:rPr>
                <w:rFonts w:hint="eastAsia" w:ascii="宋体" w:hAnsi="宋体" w:eastAsia="宋体" w:cs="宋体"/>
                <w:sz w:val="24"/>
                <w:szCs w:val="24"/>
              </w:rPr>
            </w:pPr>
            <w:r>
              <w:rPr>
                <w:rFonts w:hint="eastAsia" w:ascii="宋体" w:hAnsi="宋体" w:eastAsia="宋体" w:cs="宋体"/>
                <w:spacing w:val="2"/>
                <w:sz w:val="24"/>
                <w:szCs w:val="24"/>
              </w:rPr>
              <w:t>TL</w:t>
            </w:r>
          </w:p>
        </w:tc>
        <w:tc>
          <w:tcPr>
            <w:tcW w:w="1174" w:type="dxa"/>
            <w:vMerge w:val="restart"/>
            <w:tcBorders>
              <w:top w:val="single" w:color="auto" w:sz="4" w:space="0"/>
              <w:left w:val="single" w:color="auto" w:sz="4" w:space="0"/>
              <w:bottom w:val="single" w:color="auto" w:sz="4" w:space="0"/>
              <w:right w:val="single" w:color="auto" w:sz="4" w:space="0"/>
            </w:tcBorders>
            <w:vAlign w:val="top"/>
          </w:tcPr>
          <w:p w14:paraId="19685CC8">
            <w:pPr>
              <w:spacing w:line="279" w:lineRule="auto"/>
              <w:rPr>
                <w:rFonts w:hint="eastAsia" w:ascii="宋体" w:hAnsi="宋体" w:eastAsia="宋体" w:cs="宋体"/>
                <w:sz w:val="24"/>
                <w:szCs w:val="24"/>
              </w:rPr>
            </w:pPr>
          </w:p>
          <w:p w14:paraId="678146F8">
            <w:pPr>
              <w:pStyle w:val="8"/>
              <w:spacing w:before="65" w:line="245" w:lineRule="auto"/>
              <w:ind w:right="108"/>
              <w:jc w:val="both"/>
              <w:rPr>
                <w:rFonts w:hint="eastAsia" w:ascii="宋体" w:hAnsi="宋体" w:eastAsia="宋体" w:cs="宋体"/>
                <w:sz w:val="24"/>
                <w:szCs w:val="24"/>
              </w:rPr>
            </w:pPr>
          </w:p>
        </w:tc>
      </w:tr>
      <w:tr w14:paraId="66179E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464" w:type="dxa"/>
            <w:vAlign w:val="top"/>
          </w:tcPr>
          <w:p w14:paraId="2555BDEF">
            <w:pPr>
              <w:spacing w:line="285" w:lineRule="auto"/>
              <w:rPr>
                <w:rFonts w:hint="eastAsia" w:ascii="宋体" w:hAnsi="宋体" w:eastAsia="宋体" w:cs="宋体"/>
                <w:sz w:val="24"/>
                <w:szCs w:val="24"/>
              </w:rPr>
            </w:pPr>
          </w:p>
          <w:p w14:paraId="263B0F1B">
            <w:pPr>
              <w:pStyle w:val="8"/>
              <w:spacing w:before="62" w:line="186" w:lineRule="auto"/>
              <w:ind w:left="219"/>
              <w:rPr>
                <w:rFonts w:hint="eastAsia" w:ascii="宋体" w:hAnsi="宋体" w:eastAsia="宋体" w:cs="宋体"/>
                <w:sz w:val="24"/>
                <w:szCs w:val="24"/>
              </w:rPr>
            </w:pPr>
            <w:r>
              <w:rPr>
                <w:rFonts w:hint="eastAsia" w:ascii="宋体" w:hAnsi="宋体" w:eastAsia="宋体" w:cs="宋体"/>
                <w:sz w:val="24"/>
                <w:szCs w:val="24"/>
              </w:rPr>
              <w:t>2</w:t>
            </w:r>
          </w:p>
        </w:tc>
        <w:tc>
          <w:tcPr>
            <w:tcW w:w="1295" w:type="dxa"/>
            <w:vAlign w:val="top"/>
          </w:tcPr>
          <w:p w14:paraId="7F077ED5">
            <w:pPr>
              <w:spacing w:line="284" w:lineRule="auto"/>
              <w:rPr>
                <w:rFonts w:hint="eastAsia" w:ascii="宋体" w:hAnsi="宋体" w:eastAsia="宋体" w:cs="宋体"/>
                <w:sz w:val="24"/>
                <w:szCs w:val="24"/>
              </w:rPr>
            </w:pPr>
          </w:p>
          <w:p w14:paraId="25923772">
            <w:pPr>
              <w:pStyle w:val="8"/>
              <w:spacing w:before="62" w:line="187" w:lineRule="auto"/>
              <w:ind w:left="216"/>
              <w:rPr>
                <w:rFonts w:hint="eastAsia" w:ascii="宋体" w:hAnsi="宋体" w:eastAsia="宋体" w:cs="宋体"/>
                <w:sz w:val="24"/>
                <w:szCs w:val="24"/>
              </w:rPr>
            </w:pPr>
            <w:r>
              <w:rPr>
                <w:rFonts w:hint="eastAsia" w:ascii="宋体" w:hAnsi="宋体" w:eastAsia="宋体" w:cs="宋体"/>
                <w:spacing w:val="3"/>
                <w:sz w:val="24"/>
                <w:szCs w:val="24"/>
              </w:rPr>
              <w:t>70195280</w:t>
            </w:r>
          </w:p>
        </w:tc>
        <w:tc>
          <w:tcPr>
            <w:tcW w:w="3629" w:type="dxa"/>
            <w:tcBorders>
              <w:right w:val="single" w:color="auto" w:sz="4" w:space="0"/>
            </w:tcBorders>
            <w:vAlign w:val="top"/>
          </w:tcPr>
          <w:p w14:paraId="3BEE75AA">
            <w:pPr>
              <w:pStyle w:val="8"/>
              <w:spacing w:before="133" w:line="284" w:lineRule="auto"/>
              <w:ind w:right="385"/>
              <w:rPr>
                <w:rFonts w:hint="eastAsia" w:ascii="宋体" w:hAnsi="宋体" w:eastAsia="宋体" w:cs="宋体"/>
                <w:sz w:val="24"/>
                <w:szCs w:val="24"/>
              </w:rPr>
            </w:pPr>
            <w:r>
              <w:rPr>
                <w:rFonts w:hint="eastAsia" w:ascii="宋体" w:hAnsi="宋体" w:eastAsia="宋体" w:cs="宋体"/>
                <w:spacing w:val="8"/>
                <w:sz w:val="24"/>
                <w:szCs w:val="24"/>
              </w:rPr>
              <w:t>重载自适应辊轮自动纠偏装置</w:t>
            </w:r>
            <w:r>
              <w:rPr>
                <w:rFonts w:hint="eastAsia" w:ascii="宋体" w:hAnsi="宋体" w:eastAsia="宋体" w:cs="宋体"/>
                <w:spacing w:val="4"/>
                <w:sz w:val="24"/>
                <w:szCs w:val="24"/>
              </w:rPr>
              <w:t xml:space="preserve"> </w:t>
            </w:r>
            <w:r>
              <w:rPr>
                <w:rFonts w:hint="eastAsia" w:ascii="宋体" w:hAnsi="宋体" w:eastAsia="宋体" w:cs="宋体"/>
                <w:spacing w:val="6"/>
                <w:sz w:val="24"/>
                <w:szCs w:val="24"/>
              </w:rPr>
              <w:t>\</w:t>
            </w:r>
            <w:r>
              <w:rPr>
                <w:rFonts w:hint="eastAsia" w:ascii="宋体" w:hAnsi="宋体" w:eastAsia="宋体" w:cs="宋体"/>
                <w:sz w:val="24"/>
                <w:szCs w:val="24"/>
              </w:rPr>
              <w:t>SG</w:t>
            </w:r>
            <w:r>
              <w:rPr>
                <w:rFonts w:hint="eastAsia" w:ascii="宋体" w:hAnsi="宋体" w:eastAsia="宋体" w:cs="宋体"/>
                <w:spacing w:val="6"/>
                <w:sz w:val="24"/>
                <w:szCs w:val="24"/>
              </w:rPr>
              <w:t>1200/</w:t>
            </w:r>
            <w:r>
              <w:rPr>
                <w:rFonts w:hint="eastAsia" w:ascii="宋体" w:hAnsi="宋体" w:eastAsia="宋体" w:cs="宋体"/>
                <w:sz w:val="24"/>
                <w:szCs w:val="24"/>
              </w:rPr>
              <w:t>TRT</w:t>
            </w:r>
            <w:r>
              <w:rPr>
                <w:rFonts w:hint="eastAsia" w:ascii="宋体" w:hAnsi="宋体" w:eastAsia="宋体" w:cs="宋体"/>
                <w:spacing w:val="6"/>
                <w:sz w:val="24"/>
                <w:szCs w:val="24"/>
              </w:rPr>
              <w:t>-C2</w:t>
            </w:r>
          </w:p>
        </w:tc>
        <w:tc>
          <w:tcPr>
            <w:tcW w:w="1890" w:type="dxa"/>
            <w:tcBorders>
              <w:top w:val="single" w:color="auto" w:sz="4" w:space="0"/>
              <w:left w:val="single" w:color="auto" w:sz="4" w:space="0"/>
              <w:bottom w:val="single" w:color="auto" w:sz="4" w:space="0"/>
              <w:right w:val="single" w:color="auto" w:sz="4" w:space="0"/>
            </w:tcBorders>
            <w:vAlign w:val="top"/>
          </w:tcPr>
          <w:p w14:paraId="155A349D">
            <w:pPr>
              <w:pStyle w:val="8"/>
              <w:spacing w:before="62" w:line="186" w:lineRule="auto"/>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依据采购合同</w:t>
            </w:r>
          </w:p>
        </w:tc>
        <w:tc>
          <w:tcPr>
            <w:tcW w:w="780" w:type="dxa"/>
            <w:tcBorders>
              <w:top w:val="single" w:color="auto" w:sz="4" w:space="0"/>
              <w:left w:val="single" w:color="auto" w:sz="4" w:space="0"/>
              <w:bottom w:val="single" w:color="auto" w:sz="4" w:space="0"/>
              <w:right w:val="single" w:color="auto" w:sz="4" w:space="0"/>
            </w:tcBorders>
            <w:vAlign w:val="top"/>
          </w:tcPr>
          <w:p w14:paraId="5519B254">
            <w:pPr>
              <w:pStyle w:val="8"/>
              <w:spacing w:before="226" w:line="184" w:lineRule="auto"/>
              <w:ind w:left="227"/>
              <w:rPr>
                <w:rFonts w:hint="eastAsia" w:ascii="宋体" w:hAnsi="宋体" w:eastAsia="宋体" w:cs="宋体"/>
                <w:sz w:val="24"/>
                <w:szCs w:val="24"/>
              </w:rPr>
            </w:pPr>
            <w:r>
              <w:rPr>
                <w:rFonts w:hint="eastAsia" w:ascii="宋体" w:hAnsi="宋体" w:eastAsia="宋体" w:cs="宋体"/>
                <w:spacing w:val="2"/>
                <w:sz w:val="24"/>
                <w:szCs w:val="24"/>
              </w:rPr>
              <w:t>TL</w:t>
            </w:r>
          </w:p>
        </w:tc>
        <w:tc>
          <w:tcPr>
            <w:tcW w:w="1174" w:type="dxa"/>
            <w:vMerge w:val="continue"/>
            <w:tcBorders>
              <w:top w:val="single" w:color="auto" w:sz="4" w:space="0"/>
              <w:left w:val="single" w:color="auto" w:sz="4" w:space="0"/>
              <w:bottom w:val="single" w:color="auto" w:sz="4" w:space="0"/>
              <w:right w:val="single" w:color="auto" w:sz="4" w:space="0"/>
            </w:tcBorders>
            <w:vAlign w:val="top"/>
          </w:tcPr>
          <w:p w14:paraId="7B9CE282">
            <w:pPr>
              <w:rPr>
                <w:rFonts w:hint="eastAsia" w:ascii="宋体" w:hAnsi="宋体" w:eastAsia="宋体" w:cs="宋体"/>
                <w:sz w:val="24"/>
                <w:szCs w:val="24"/>
              </w:rPr>
            </w:pPr>
          </w:p>
        </w:tc>
      </w:tr>
      <w:tr w14:paraId="7CE93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9232" w:type="dxa"/>
            <w:gridSpan w:val="6"/>
            <w:shd w:val="clear" w:color="auto" w:fill="auto"/>
            <w:vAlign w:val="top"/>
          </w:tcPr>
          <w:p w14:paraId="03B8E188">
            <w:pPr>
              <w:pStyle w:val="8"/>
              <w:numPr>
                <w:ilvl w:val="0"/>
                <w:numId w:val="6"/>
              </w:numPr>
              <w:spacing w:before="65" w:line="245" w:lineRule="auto"/>
              <w:ind w:right="108" w:rightChars="0"/>
              <w:jc w:val="both"/>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每套</w:t>
            </w:r>
            <w:r>
              <w:rPr>
                <w:rFonts w:hint="eastAsia" w:ascii="宋体" w:hAnsi="宋体" w:eastAsia="宋体" w:cs="宋体"/>
                <w:spacing w:val="8"/>
                <w:sz w:val="24"/>
                <w:szCs w:val="24"/>
              </w:rPr>
              <w:t>纠偏装置</w:t>
            </w:r>
            <w:r>
              <w:rPr>
                <w:rFonts w:hint="eastAsia" w:ascii="宋体" w:hAnsi="宋体" w:eastAsia="宋体" w:cs="宋体"/>
                <w:spacing w:val="8"/>
                <w:sz w:val="24"/>
                <w:szCs w:val="24"/>
                <w:lang w:val="en-US" w:eastAsia="zh-CN"/>
              </w:rPr>
              <w:t>均应</w:t>
            </w:r>
            <w:r>
              <w:rPr>
                <w:rFonts w:hint="eastAsia" w:ascii="宋体" w:hAnsi="宋体" w:eastAsia="宋体" w:cs="宋体"/>
                <w:snapToGrid w:val="0"/>
                <w:color w:val="auto"/>
                <w:kern w:val="0"/>
                <w:sz w:val="24"/>
                <w:szCs w:val="24"/>
                <w:lang w:val="en-US" w:eastAsia="zh-CN" w:bidi="ar-SA"/>
              </w:rPr>
              <w:t>配套安装数量齐全的耐磨托辊，含连接螺栓螺母、螺栓</w:t>
            </w:r>
          </w:p>
          <w:p w14:paraId="54AD59F3">
            <w:pPr>
              <w:pStyle w:val="8"/>
              <w:numPr>
                <w:ilvl w:val="0"/>
                <w:numId w:val="6"/>
              </w:numPr>
              <w:spacing w:before="65" w:line="245" w:lineRule="auto"/>
              <w:ind w:right="108" w:rightChars="0"/>
              <w:jc w:val="both"/>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zh-CN" w:bidi="ar-SA"/>
              </w:rPr>
              <w:t>本次采购所供产品应包含2组中间托辊、2组侧边摩擦锥形托辊备件</w:t>
            </w:r>
          </w:p>
        </w:tc>
      </w:tr>
    </w:tbl>
    <w:p w14:paraId="6EFCFC7C">
      <w:pPr>
        <w:adjustRightInd w:val="0"/>
        <w:snapToGrid w:val="0"/>
        <w:spacing w:line="360" w:lineRule="auto"/>
        <w:ind w:right="-15"/>
        <w:jc w:val="left"/>
        <w:textAlignment w:val="baseline"/>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四、制造过程监制</w:t>
      </w:r>
    </w:p>
    <w:p w14:paraId="3DF6066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 合同签订后一周内提供详尽的制造进度，包括原材料采购备货情况、按最小制造工序列出的进度、各阶段质量控制节点与验收标准、预计发货时间等内容，每周向甲方反馈制造进度执行情况，附相关的照片、视频。</w:t>
      </w:r>
    </w:p>
    <w:p w14:paraId="7A395B8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 甲方有权乙方有关部门查(借)阅卖方的与本产品有关的标准(包括工厂标准)、图纸、资料、工艺及实际工艺过程和检验记录(包括中间检验记录)。</w:t>
      </w:r>
    </w:p>
    <w:p w14:paraId="07A06975">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 甲方在监制过程中如需借用乙方的检测工具对设备进行检测，乙方须给予积极配合。应免费提供必要的安全用具、办公设备、技术资料和图纸、核算数据、制造和检验标准及其它必备检验数据等。</w:t>
      </w:r>
    </w:p>
    <w:p w14:paraId="1B0D391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 甲方在监制过程中如发现设备、材料缺陷或不符合规定的标准和不能满足设计要求时，有权提出修理和重做的要求，乙方须满足该要求，以保证设备质量。无论甲方是否要求和是否知道，乙方须主动及时向甲方通报产品制造过程中出现的质量缺陷和问题。</w:t>
      </w:r>
    </w:p>
    <w:p w14:paraId="335CBF3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 无论甲方是否参与监制设备，均不视为乙方按规定承当的质量保证的解除，也不免除乙方对产品所负的其他责任和义务。</w:t>
      </w:r>
    </w:p>
    <w:p w14:paraId="4711BAAE">
      <w:pPr>
        <w:adjustRightInd w:val="0"/>
        <w:snapToGrid w:val="0"/>
        <w:spacing w:line="360" w:lineRule="auto"/>
        <w:ind w:right="-15" w:firstLine="600" w:firstLineChars="25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rPr>
        <w:t>6 乙方应配合甲方提供制造过程监管所需的照片、视频及其他资料，涉密内容可进行技术处理。</w:t>
      </w:r>
    </w:p>
    <w:p w14:paraId="03E7E7B2">
      <w:pPr>
        <w:adjustRightInd w:val="0"/>
        <w:snapToGrid w:val="0"/>
        <w:spacing w:line="360" w:lineRule="auto"/>
        <w:ind w:right="-15"/>
        <w:jc w:val="left"/>
        <w:textAlignment w:val="baseline"/>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五、包装运输要求</w:t>
      </w:r>
    </w:p>
    <w:p w14:paraId="42BEB181">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产品包装物要牢固，适合安全运输，并按照产品特性采取必要的防潮、防雨、防锈、和防变形保护措施。。</w:t>
      </w:r>
    </w:p>
    <w:p w14:paraId="237CDB52">
      <w:pPr>
        <w:adjustRightInd w:val="0"/>
        <w:snapToGrid w:val="0"/>
        <w:spacing w:line="360" w:lineRule="auto"/>
        <w:ind w:right="-15"/>
        <w:jc w:val="left"/>
        <w:textAlignment w:val="baseline"/>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六、安装前质量验收：</w:t>
      </w:r>
    </w:p>
    <w:p w14:paraId="15B5A559">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 乙方出厂检验</w:t>
      </w:r>
    </w:p>
    <w:p w14:paraId="09032D8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1.1 乙方在发货前，对产品规格、数量、质量等进行全面检验，按要求提供装箱单、出厂检验报告及其他随机资料（详见第六款）。</w:t>
      </w:r>
    </w:p>
    <w:p w14:paraId="3378F06B">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1.2 出厂检验报告包括的内容：物理性能、化学成分、表面质量、几何形状及尺寸，须注明使用的检测仪器名称、规格型号，检验报告须由单位技术负责人审核签字并盖公章。</w:t>
      </w:r>
    </w:p>
    <w:p w14:paraId="141CF4A7">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 到货外观验收</w:t>
      </w:r>
    </w:p>
    <w:p w14:paraId="02414CF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 由甲乙双方开箱按照技术规格书对数量、几何尺寸、表面质量、单件重量、随机资料进行验收。</w:t>
      </w:r>
    </w:p>
    <w:p w14:paraId="00444ADB">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 如果乙方未准时到达现场，甲方将自行进行该检验。</w:t>
      </w:r>
    </w:p>
    <w:p w14:paraId="78478A1F">
      <w:pPr>
        <w:adjustRightInd w:val="0"/>
        <w:snapToGrid w:val="0"/>
        <w:spacing w:line="360" w:lineRule="auto"/>
        <w:ind w:right="-15" w:firstLine="600" w:firstLineChars="250"/>
        <w:jc w:val="left"/>
        <w:textAlignment w:val="baseline"/>
        <w:rPr>
          <w:rFonts w:hint="eastAsia" w:ascii="宋体" w:hAnsi="宋体" w:eastAsia="宋体" w:cs="宋体"/>
          <w:color w:val="8DB3E2"/>
          <w:kern w:val="0"/>
          <w:sz w:val="24"/>
          <w:szCs w:val="24"/>
          <w:lang w:val="en-US" w:eastAsia="zh-CN"/>
        </w:rPr>
      </w:pPr>
      <w:r>
        <w:rPr>
          <w:rFonts w:hint="eastAsia" w:ascii="宋体" w:hAnsi="宋体" w:eastAsia="宋体" w:cs="宋体"/>
          <w:color w:val="8DB3E2"/>
          <w:kern w:val="0"/>
          <w:sz w:val="24"/>
          <w:szCs w:val="24"/>
          <w:lang w:val="en-US" w:eastAsia="zh-CN"/>
        </w:rPr>
        <w:t>3 第三方检测：本技术规格书所供备件不涉及</w:t>
      </w:r>
    </w:p>
    <w:p w14:paraId="3AA75EF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 验收结果应用</w:t>
      </w:r>
    </w:p>
    <w:p w14:paraId="0E32085A">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外观验收、第三方检测等任何指标不符合本技术规格书要求的，均属于不合格品，按甲方质量异议流程进行处置。</w:t>
      </w:r>
    </w:p>
    <w:p w14:paraId="59F35B78">
      <w:pPr>
        <w:adjustRightInd w:val="0"/>
        <w:snapToGrid w:val="0"/>
        <w:spacing w:line="360" w:lineRule="auto"/>
        <w:ind w:right="-15"/>
        <w:jc w:val="left"/>
        <w:textAlignment w:val="baseline"/>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七、使用过程质量要求</w:t>
      </w:r>
    </w:p>
    <w:p w14:paraId="56EF62D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 质量保证期内，外观完好、外形尺寸一致，不得出现卡阻、纠偏不灵活等异常现象；</w:t>
      </w:r>
    </w:p>
    <w:p w14:paraId="6D6F35B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八、质量保证期</w:t>
      </w:r>
    </w:p>
    <w:p w14:paraId="75C12829">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 使用寿命</w:t>
      </w:r>
    </w:p>
    <w:tbl>
      <w:tblPr>
        <w:tblStyle w:val="5"/>
        <w:tblW w:w="7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150"/>
        <w:gridCol w:w="1260"/>
        <w:gridCol w:w="1136"/>
        <w:gridCol w:w="807"/>
      </w:tblGrid>
      <w:tr w14:paraId="65653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915" w:type="dxa"/>
            <w:noWrap w:val="0"/>
            <w:vAlign w:val="center"/>
          </w:tcPr>
          <w:p w14:paraId="7E97BB13">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序号</w:t>
            </w:r>
          </w:p>
        </w:tc>
        <w:tc>
          <w:tcPr>
            <w:tcW w:w="3150" w:type="dxa"/>
            <w:noWrap w:val="0"/>
            <w:vAlign w:val="center"/>
          </w:tcPr>
          <w:p w14:paraId="50A4AF25">
            <w:pPr>
              <w:widowControl w:val="0"/>
              <w:adjustRightInd w:val="0"/>
              <w:snapToGrid w:val="0"/>
              <w:spacing w:line="360" w:lineRule="auto"/>
              <w:ind w:right="-15" w:firstLine="600" w:firstLineChars="250"/>
              <w:jc w:val="center"/>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规格型号</w:t>
            </w:r>
          </w:p>
        </w:tc>
        <w:tc>
          <w:tcPr>
            <w:tcW w:w="1260" w:type="dxa"/>
            <w:noWrap w:val="0"/>
            <w:vAlign w:val="center"/>
          </w:tcPr>
          <w:p w14:paraId="77E9E122">
            <w:pPr>
              <w:widowControl w:val="0"/>
              <w:adjustRightInd w:val="0"/>
              <w:snapToGrid w:val="0"/>
              <w:spacing w:line="360" w:lineRule="auto"/>
              <w:ind w:right="-15"/>
              <w:jc w:val="both"/>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纠偏本体</w:t>
            </w:r>
          </w:p>
        </w:tc>
        <w:tc>
          <w:tcPr>
            <w:tcW w:w="1136" w:type="dxa"/>
            <w:noWrap w:val="0"/>
            <w:vAlign w:val="center"/>
          </w:tcPr>
          <w:p w14:paraId="6C87500D">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托辊</w:t>
            </w:r>
          </w:p>
        </w:tc>
        <w:tc>
          <w:tcPr>
            <w:tcW w:w="807" w:type="dxa"/>
            <w:noWrap w:val="0"/>
            <w:vAlign w:val="center"/>
          </w:tcPr>
          <w:p w14:paraId="4AC402E8">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备注</w:t>
            </w:r>
          </w:p>
        </w:tc>
      </w:tr>
      <w:tr w14:paraId="7235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15" w:type="dxa"/>
            <w:noWrap w:val="0"/>
            <w:vAlign w:val="center"/>
          </w:tcPr>
          <w:p w14:paraId="7E3F378F">
            <w:pPr>
              <w:widowControl w:val="0"/>
              <w:tabs>
                <w:tab w:val="center" w:pos="103"/>
              </w:tabs>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ab/>
            </w:r>
            <w:r>
              <w:rPr>
                <w:rFonts w:hint="eastAsia" w:ascii="宋体" w:hAnsi="宋体" w:eastAsia="宋体" w:cs="宋体"/>
                <w:color w:val="auto"/>
                <w:kern w:val="0"/>
                <w:sz w:val="24"/>
                <w:szCs w:val="24"/>
                <w:lang w:val="en-US" w:eastAsia="zh-CN"/>
              </w:rPr>
              <w:t>1</w:t>
            </w:r>
          </w:p>
        </w:tc>
        <w:tc>
          <w:tcPr>
            <w:tcW w:w="3150" w:type="dxa"/>
            <w:noWrap w:val="0"/>
            <w:vAlign w:val="center"/>
          </w:tcPr>
          <w:p w14:paraId="56380052">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重载自适应辊轮自动纠偏装置 \SG1200/REV-V2</w:t>
            </w:r>
          </w:p>
        </w:tc>
        <w:tc>
          <w:tcPr>
            <w:tcW w:w="1260" w:type="dxa"/>
            <w:noWrap w:val="0"/>
            <w:vAlign w:val="center"/>
          </w:tcPr>
          <w:p w14:paraId="4413C11E">
            <w:pPr>
              <w:widowControl w:val="0"/>
              <w:adjustRightInd w:val="0"/>
              <w:snapToGrid w:val="0"/>
              <w:spacing w:line="360" w:lineRule="auto"/>
              <w:ind w:right="-15"/>
              <w:jc w:val="left"/>
              <w:textAlignment w:val="baseline"/>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36个月</w:t>
            </w:r>
          </w:p>
        </w:tc>
        <w:tc>
          <w:tcPr>
            <w:tcW w:w="1136" w:type="dxa"/>
            <w:noWrap w:val="0"/>
            <w:vAlign w:val="center"/>
          </w:tcPr>
          <w:p w14:paraId="5D9B7124">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36个月</w:t>
            </w:r>
          </w:p>
        </w:tc>
        <w:tc>
          <w:tcPr>
            <w:tcW w:w="807" w:type="dxa"/>
            <w:noWrap w:val="0"/>
            <w:vAlign w:val="center"/>
          </w:tcPr>
          <w:p w14:paraId="6A9F74CB">
            <w:pPr>
              <w:widowControl w:val="0"/>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p>
        </w:tc>
      </w:tr>
      <w:tr w14:paraId="56BF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15" w:type="dxa"/>
            <w:noWrap w:val="0"/>
            <w:vAlign w:val="center"/>
          </w:tcPr>
          <w:p w14:paraId="1270E8C0">
            <w:pPr>
              <w:widowControl w:val="0"/>
              <w:tabs>
                <w:tab w:val="center" w:pos="103"/>
              </w:tabs>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ab/>
            </w:r>
            <w:r>
              <w:rPr>
                <w:rFonts w:hint="eastAsia" w:ascii="宋体" w:hAnsi="宋体" w:eastAsia="宋体" w:cs="宋体"/>
                <w:color w:val="auto"/>
                <w:kern w:val="0"/>
                <w:sz w:val="24"/>
                <w:szCs w:val="24"/>
                <w:lang w:val="en-US" w:eastAsia="zh-CN"/>
              </w:rPr>
              <w:t>2</w:t>
            </w:r>
          </w:p>
        </w:tc>
        <w:tc>
          <w:tcPr>
            <w:tcW w:w="3150" w:type="dxa"/>
            <w:noWrap w:val="0"/>
            <w:vAlign w:val="center"/>
          </w:tcPr>
          <w:p w14:paraId="61D827B3">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重载自适应辊轮自动纠偏装置 \SG1200/TRT-C2</w:t>
            </w:r>
          </w:p>
        </w:tc>
        <w:tc>
          <w:tcPr>
            <w:tcW w:w="1260" w:type="dxa"/>
            <w:noWrap w:val="0"/>
            <w:vAlign w:val="center"/>
          </w:tcPr>
          <w:p w14:paraId="75A81459">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36个月</w:t>
            </w:r>
          </w:p>
        </w:tc>
        <w:tc>
          <w:tcPr>
            <w:tcW w:w="1136" w:type="dxa"/>
            <w:noWrap w:val="0"/>
            <w:vAlign w:val="center"/>
          </w:tcPr>
          <w:p w14:paraId="45985175">
            <w:pPr>
              <w:widowControl w:val="0"/>
              <w:adjustRightInd w:val="0"/>
              <w:snapToGrid w:val="0"/>
              <w:spacing w:line="360" w:lineRule="auto"/>
              <w:ind w:right="-15"/>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36个月</w:t>
            </w:r>
          </w:p>
        </w:tc>
        <w:tc>
          <w:tcPr>
            <w:tcW w:w="807" w:type="dxa"/>
            <w:noWrap w:val="0"/>
            <w:vAlign w:val="center"/>
          </w:tcPr>
          <w:p w14:paraId="66B4A5C2">
            <w:pPr>
              <w:widowControl w:val="0"/>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p>
        </w:tc>
      </w:tr>
    </w:tbl>
    <w:p w14:paraId="238DED4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 质量保证期</w:t>
      </w:r>
    </w:p>
    <w:p w14:paraId="50ED4B95">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2.1 本产品的质量保证期与使用寿命等同。</w:t>
      </w:r>
    </w:p>
    <w:p w14:paraId="0FADE492">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2.2 使用寿命内，被置换部件自该更换部件的安装日期开始计算。</w:t>
      </w:r>
    </w:p>
    <w:p w14:paraId="1539995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2.3 使用过程中不符合第七条内容或未达到使用寿命，均属于不合格品，按甲方质量异议流程进行处置。</w:t>
      </w:r>
    </w:p>
    <w:p w14:paraId="25AC8A2F">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66" w:firstLineChars="200"/>
        <w:jc w:val="both"/>
        <w:textAlignment w:val="auto"/>
        <w:rPr>
          <w:rFonts w:hint="eastAsia" w:ascii="宋体" w:hAnsi="宋体" w:eastAsia="宋体" w:cs="宋体"/>
          <w:b/>
          <w:color w:val="auto"/>
          <w:spacing w:val="-4"/>
          <w:kern w:val="28"/>
          <w:sz w:val="24"/>
          <w:szCs w:val="24"/>
        </w:rPr>
      </w:pPr>
      <w:r>
        <w:rPr>
          <w:rFonts w:hint="eastAsia" w:ascii="宋体" w:hAnsi="宋体" w:eastAsia="宋体" w:cs="宋体"/>
          <w:b/>
          <w:color w:val="auto"/>
          <w:spacing w:val="-4"/>
          <w:kern w:val="28"/>
          <w:sz w:val="24"/>
          <w:szCs w:val="24"/>
          <w:lang w:eastAsia="zh-CN"/>
        </w:rPr>
        <w:t>九、随机资料</w:t>
      </w:r>
    </w:p>
    <w:p w14:paraId="1F1BC375">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 产品合格证，合格证应包括以下内容：公司名称、产品名称、规格型号、材质牌号、制造日期或生产批次号、产品标准编号。</w:t>
      </w:r>
    </w:p>
    <w:p w14:paraId="14ACBA53">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 总装配图。</w:t>
      </w:r>
    </w:p>
    <w:p w14:paraId="7CC4640D">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3产品说明书。</w:t>
      </w:r>
    </w:p>
    <w:p w14:paraId="107F8B79">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十、交货</w:t>
      </w:r>
      <w:r>
        <w:rPr>
          <w:rFonts w:hint="eastAsia" w:ascii="宋体" w:hAnsi="宋体" w:eastAsia="宋体" w:cs="宋体"/>
          <w:b/>
          <w:color w:val="auto"/>
          <w:sz w:val="24"/>
          <w:szCs w:val="24"/>
        </w:rPr>
        <w:t>时间及地点</w:t>
      </w:r>
    </w:p>
    <w:p w14:paraId="35594A8A">
      <w:pPr>
        <w:adjustRightInd w:val="0"/>
        <w:snapToGrid w:val="0"/>
        <w:spacing w:line="360" w:lineRule="auto"/>
        <w:ind w:right="-15" w:firstLine="600" w:firstLineChars="250"/>
        <w:jc w:val="left"/>
        <w:textAlignment w:val="baseline"/>
        <w:rPr>
          <w:rFonts w:hint="eastAsia" w:ascii="宋体" w:hAnsi="宋体" w:eastAsia="宋体" w:cs="宋体"/>
          <w:b/>
          <w:color w:val="auto"/>
          <w:sz w:val="24"/>
          <w:szCs w:val="24"/>
          <w:lang w:eastAsia="zh-CN"/>
        </w:rPr>
      </w:pPr>
      <w:r>
        <w:rPr>
          <w:rFonts w:hint="eastAsia" w:ascii="宋体" w:hAnsi="宋体" w:eastAsia="宋体" w:cs="宋体"/>
          <w:color w:val="auto"/>
          <w:kern w:val="0"/>
          <w:sz w:val="24"/>
          <w:szCs w:val="24"/>
          <w:lang w:val="en-US" w:eastAsia="zh-CN"/>
        </w:rPr>
        <w:t>合同签订后60个日历日内送到合同规定的交货地点。</w:t>
      </w:r>
    </w:p>
    <w:p w14:paraId="1A6C8463">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十一、</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售前、售后服务</w:t>
      </w:r>
    </w:p>
    <w:p w14:paraId="7A9C3BB8">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1 </w:t>
      </w:r>
      <w:r>
        <w:rPr>
          <w:rFonts w:hint="eastAsia" w:ascii="宋体" w:hAnsi="宋体" w:eastAsia="宋体" w:cs="宋体"/>
          <w:color w:val="auto"/>
          <w:kern w:val="0"/>
          <w:sz w:val="24"/>
          <w:szCs w:val="24"/>
          <w:lang w:val="sq-AL" w:eastAsia="zh-CN"/>
        </w:rPr>
        <w:t>乙方应结合甲方提供的使用工况，必要时到现场实地考察，提供满足现场使用要求的产品。</w:t>
      </w:r>
    </w:p>
    <w:p w14:paraId="0F404750">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 乙方须对甲方操作及维护人员进行现场培训，内容涵盖产品特性、安装规范、运行监测要点及常见故障识别方法。</w:t>
      </w:r>
    </w:p>
    <w:p w14:paraId="7B7A6E84">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 在设备安装调试阶段，乙方应派遣经验丰富的技术人员现场指导，确保正确安装并满足要求。</w:t>
      </w:r>
    </w:p>
    <w:p w14:paraId="1F12743C">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 产品使用寿命内出现任何问题，乙方须在24小时内响应，72小时内到达现场处理，明确解决方案，并承担由此产生的一切费用。</w:t>
      </w:r>
    </w:p>
    <w:p w14:paraId="4BB0011F">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 双方应建立联络机制，确保信息传递及时准确。</w:t>
      </w:r>
    </w:p>
    <w:p w14:paraId="47819190">
      <w:pPr>
        <w:adjustRightInd w:val="0"/>
        <w:snapToGrid w:val="0"/>
        <w:spacing w:line="360" w:lineRule="auto"/>
        <w:ind w:right="-15" w:firstLine="600" w:firstLineChars="250"/>
        <w:jc w:val="left"/>
        <w:textAlignment w:val="baseline"/>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 乙方承诺提供长期技术支持，定期回访使用情况，协助甲方优化产品，实现质量、效益持续改善提升。</w:t>
      </w:r>
    </w:p>
    <w:p w14:paraId="55D0F72E">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十二、</w:t>
      </w:r>
      <w:r>
        <w:rPr>
          <w:rFonts w:hint="eastAsia" w:ascii="宋体" w:hAnsi="宋体" w:eastAsia="宋体" w:cs="宋体"/>
          <w:b/>
          <w:color w:val="auto"/>
          <w:sz w:val="24"/>
          <w:szCs w:val="24"/>
        </w:rPr>
        <w:t>其它</w:t>
      </w:r>
    </w:p>
    <w:p w14:paraId="3C65D6C3">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20" w:firstLineChars="200"/>
        <w:jc w:val="both"/>
        <w:textAlignment w:val="auto"/>
        <w:rPr>
          <w:rFonts w:hint="eastAsia" w:ascii="宋体" w:hAnsi="宋体" w:eastAsia="宋体" w:cs="Times New Roman"/>
          <w:szCs w:val="28"/>
          <w:lang w:val="en-US" w:eastAsia="zh-CN"/>
        </w:rPr>
      </w:pPr>
      <w:r>
        <w:rPr>
          <w:rFonts w:hint="eastAsia" w:ascii="宋体" w:hAnsi="宋体" w:eastAsia="宋体" w:cs="Times New Roman"/>
          <w:szCs w:val="28"/>
          <w:lang w:val="en-US" w:eastAsia="zh-CN"/>
        </w:rPr>
        <w:t>1.其他未尽事宜按相关标准规定执行或甲乙双方协商解决。</w:t>
      </w:r>
    </w:p>
    <w:p w14:paraId="4BD1759C">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20" w:firstLineChars="200"/>
        <w:jc w:val="both"/>
        <w:textAlignment w:val="auto"/>
        <w:rPr>
          <w:rFonts w:hint="eastAsia" w:ascii="宋体" w:hAnsi="宋体" w:eastAsia="宋体" w:cs="Times New Roman"/>
          <w:szCs w:val="28"/>
          <w:lang w:val="en-US" w:eastAsia="zh-CN"/>
        </w:rPr>
      </w:pPr>
      <w:r>
        <w:rPr>
          <w:rFonts w:hint="eastAsia" w:ascii="宋体" w:hAnsi="宋体" w:eastAsia="宋体" w:cs="Times New Roman"/>
          <w:szCs w:val="28"/>
          <w:lang w:val="en-US" w:eastAsia="zh-CN"/>
        </w:rPr>
        <w:t>2.本技术规格书一式三份，甲方二份、乙方一份。</w:t>
      </w:r>
    </w:p>
    <w:p w14:paraId="6EA44BBE">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20" w:firstLineChars="200"/>
        <w:jc w:val="both"/>
        <w:textAlignment w:val="auto"/>
        <w:rPr>
          <w:rFonts w:hint="eastAsia" w:ascii="宋体" w:hAnsi="宋体" w:eastAsia="宋体" w:cs="Times New Roman"/>
          <w:szCs w:val="28"/>
          <w:lang w:val="en-US" w:eastAsia="zh-CN"/>
        </w:rPr>
      </w:pPr>
      <w:r>
        <w:rPr>
          <w:rFonts w:hint="eastAsia" w:ascii="宋体" w:hAnsi="宋体" w:eastAsia="宋体" w:cs="Times New Roman"/>
          <w:szCs w:val="28"/>
          <w:lang w:val="en-US" w:eastAsia="zh-CN"/>
        </w:rPr>
        <w:t>3.本规格书内容经由甲乙双方于    年  月  日   时至  时通过    方式商定。</w:t>
      </w:r>
    </w:p>
    <w:p w14:paraId="479CDB36">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20" w:firstLineChars="200"/>
        <w:jc w:val="both"/>
        <w:textAlignment w:val="auto"/>
        <w:rPr>
          <w:rFonts w:hint="eastAsia" w:ascii="宋体" w:hAnsi="宋体" w:eastAsia="宋体" w:cs="Times New Roman"/>
          <w:szCs w:val="28"/>
          <w:lang w:val="en-US" w:eastAsia="zh-CN"/>
        </w:rPr>
      </w:pPr>
      <w:r>
        <w:rPr>
          <w:rFonts w:hint="eastAsia" w:ascii="宋体" w:hAnsi="宋体" w:eastAsia="宋体" w:cs="Times New Roman"/>
          <w:szCs w:val="28"/>
          <w:lang w:val="en-US" w:eastAsia="zh-CN"/>
        </w:rPr>
        <w:t>4.甲乙双方应当就签订本规格书的相关事宜保密，不得将签订主体、时间、内容等信息透露给其他第三人。</w:t>
      </w:r>
    </w:p>
    <w:p w14:paraId="5FE87F07">
      <w:pPr>
        <w:keepNext w:val="0"/>
        <w:keepLines w:val="0"/>
        <w:pageBreakBefore w:val="0"/>
        <w:widowControl w:val="0"/>
        <w:tabs>
          <w:tab w:val="left" w:pos="540"/>
          <w:tab w:val="left" w:pos="720"/>
          <w:tab w:val="left" w:pos="1080"/>
        </w:tabs>
        <w:kinsoku/>
        <w:wordWrap/>
        <w:overflowPunct/>
        <w:topLinePunct w:val="0"/>
        <w:autoSpaceDE/>
        <w:autoSpaceDN/>
        <w:bidi w:val="0"/>
        <w:adjustRightInd/>
        <w:snapToGrid/>
        <w:spacing w:line="360" w:lineRule="auto"/>
        <w:ind w:left="119" w:firstLine="420" w:firstLineChars="200"/>
        <w:jc w:val="both"/>
        <w:textAlignment w:val="auto"/>
        <w:rPr>
          <w:rFonts w:hint="eastAsia" w:ascii="宋体" w:hAnsi="宋体" w:eastAsia="宋体" w:cs="Times New Roman"/>
          <w:szCs w:val="28"/>
          <w:lang w:val="en-US" w:eastAsia="zh-CN"/>
        </w:rPr>
      </w:pPr>
      <w:r>
        <w:rPr>
          <w:rFonts w:hint="eastAsia" w:ascii="宋体" w:hAnsi="宋体" w:eastAsia="宋体" w:cs="Times New Roman"/>
          <w:szCs w:val="28"/>
          <w:lang w:val="en-US" w:eastAsia="zh-CN"/>
        </w:rPr>
        <w:t>5.若          单位不中标，本技术规格书自动失效，双方互不承担任何责任。</w:t>
      </w:r>
    </w:p>
    <w:p w14:paraId="2FAA1734">
      <w:pPr>
        <w:pStyle w:val="3"/>
        <w:spacing w:before="41" w:line="303" w:lineRule="auto"/>
        <w:ind w:right="115"/>
        <w:rPr>
          <w:sz w:val="20"/>
          <w:szCs w:val="20"/>
        </w:rPr>
      </w:pPr>
    </w:p>
    <w:sectPr>
      <w:footerReference r:id="rId5" w:type="default"/>
      <w:pgSz w:w="11907" w:h="16840"/>
      <w:pgMar w:top="1427" w:right="1681" w:bottom="1156" w:left="1777" w:header="0" w:footer="9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92A31">
    <w:pPr>
      <w:spacing w:line="176" w:lineRule="auto"/>
      <w:ind w:left="4138"/>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D6E98"/>
    <w:multiLevelType w:val="singleLevel"/>
    <w:tmpl w:val="A5CD6E98"/>
    <w:lvl w:ilvl="0" w:tentative="0">
      <w:start w:val="1"/>
      <w:numFmt w:val="decimal"/>
      <w:lvlText w:val="%1)"/>
      <w:lvlJc w:val="left"/>
      <w:pPr>
        <w:ind w:left="425" w:hanging="425"/>
      </w:pPr>
      <w:rPr>
        <w:rFonts w:hint="default"/>
      </w:rPr>
    </w:lvl>
  </w:abstractNum>
  <w:abstractNum w:abstractNumId="1">
    <w:nsid w:val="ADA386CB"/>
    <w:multiLevelType w:val="singleLevel"/>
    <w:tmpl w:val="ADA386CB"/>
    <w:lvl w:ilvl="0" w:tentative="0">
      <w:start w:val="2"/>
      <w:numFmt w:val="chineseCounting"/>
      <w:suff w:val="nothing"/>
      <w:lvlText w:val="%1、"/>
      <w:lvlJc w:val="left"/>
      <w:rPr>
        <w:rFonts w:hint="eastAsia"/>
      </w:rPr>
    </w:lvl>
  </w:abstractNum>
  <w:abstractNum w:abstractNumId="2">
    <w:nsid w:val="E403F170"/>
    <w:multiLevelType w:val="singleLevel"/>
    <w:tmpl w:val="E403F170"/>
    <w:lvl w:ilvl="0" w:tentative="0">
      <w:start w:val="1"/>
      <w:numFmt w:val="decimal"/>
      <w:lvlText w:val="%1)"/>
      <w:lvlJc w:val="left"/>
      <w:pPr>
        <w:ind w:left="425" w:hanging="425"/>
      </w:pPr>
      <w:rPr>
        <w:rFonts w:hint="default"/>
      </w:rPr>
    </w:lvl>
  </w:abstractNum>
  <w:abstractNum w:abstractNumId="3">
    <w:nsid w:val="4834B3FF"/>
    <w:multiLevelType w:val="singleLevel"/>
    <w:tmpl w:val="4834B3FF"/>
    <w:lvl w:ilvl="0" w:tentative="0">
      <w:start w:val="1"/>
      <w:numFmt w:val="decimal"/>
      <w:lvlText w:val="%1)"/>
      <w:lvlJc w:val="left"/>
      <w:pPr>
        <w:ind w:left="425" w:hanging="425"/>
      </w:pPr>
      <w:rPr>
        <w:rFonts w:hint="default"/>
      </w:rPr>
    </w:lvl>
  </w:abstractNum>
  <w:abstractNum w:abstractNumId="4">
    <w:nsid w:val="688FBBAC"/>
    <w:multiLevelType w:val="singleLevel"/>
    <w:tmpl w:val="688FBBAC"/>
    <w:lvl w:ilvl="0" w:tentative="0">
      <w:start w:val="1"/>
      <w:numFmt w:val="decimal"/>
      <w:suff w:val="nothing"/>
      <w:lvlText w:val="%1、"/>
      <w:lvlJc w:val="left"/>
    </w:lvl>
  </w:abstractNum>
  <w:abstractNum w:abstractNumId="5">
    <w:nsid w:val="7E098002"/>
    <w:multiLevelType w:val="singleLevel"/>
    <w:tmpl w:val="7E098002"/>
    <w:lvl w:ilvl="0" w:tentative="0">
      <w:start w:val="4"/>
      <w:numFmt w:val="decimal"/>
      <w:suff w:val="nothing"/>
      <w:lvlText w:val="%1、"/>
      <w:lvlJc w:val="left"/>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5975A76"/>
    <w:rsid w:val="09F2400E"/>
    <w:rsid w:val="0E897F17"/>
    <w:rsid w:val="0FB047D2"/>
    <w:rsid w:val="11CD5576"/>
    <w:rsid w:val="1F517F79"/>
    <w:rsid w:val="1FA15E62"/>
    <w:rsid w:val="2083774F"/>
    <w:rsid w:val="31516607"/>
    <w:rsid w:val="32625925"/>
    <w:rsid w:val="382021E1"/>
    <w:rsid w:val="385E7DD2"/>
    <w:rsid w:val="43007B79"/>
    <w:rsid w:val="4C991AEB"/>
    <w:rsid w:val="525E7A5F"/>
    <w:rsid w:val="58BF47EA"/>
    <w:rsid w:val="60F577E0"/>
    <w:rsid w:val="61077514"/>
    <w:rsid w:val="64C179D9"/>
    <w:rsid w:val="66935763"/>
    <w:rsid w:val="6BA24749"/>
    <w:rsid w:val="6C8D2FC3"/>
    <w:rsid w:val="6D433233"/>
    <w:rsid w:val="6FF670D1"/>
    <w:rsid w:val="72233A82"/>
    <w:rsid w:val="76407B50"/>
    <w:rsid w:val="7E567A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0"/>
      <w:szCs w:val="30"/>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19"/>
      <w:szCs w:val="19"/>
      <w:lang w:val="en-US" w:eastAsia="en-US" w:bidi="ar-SA"/>
    </w:rPr>
  </w:style>
  <w:style w:type="paragraph" w:customStyle="1" w:styleId="9">
    <w:name w:val="普通(网站)1"/>
    <w:basedOn w:val="1"/>
    <w:qFormat/>
    <w:uiPriority w:val="0"/>
    <w:pPr>
      <w:spacing w:before="100" w:beforeAutospacing="1" w:after="100" w:afterAutospacing="1"/>
      <w:ind w:left="0" w:right="0"/>
      <w:jc w:val="left"/>
    </w:pPr>
    <w:rPr>
      <w:kern w:val="0"/>
      <w:sz w:val="24"/>
      <w:lang w:val="en-US" w:eastAsia="zh-CN" w:bidi="ar"/>
    </w:rPr>
  </w:style>
  <w:style w:type="paragraph" w:customStyle="1" w:styleId="10">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4961</Words>
  <Characters>5432</Characters>
  <TotalTime>0</TotalTime>
  <ScaleCrop>false</ScaleCrop>
  <LinksUpToDate>false</LinksUpToDate>
  <CharactersWithSpaces>5673</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2025-12-03T15:46:00Z</dcterms:created>
  <dc:creator>1</dc:creator>
  <cp:lastModifiedBy>常托转</cp:lastModifiedBy>
  <dcterms:modified xsi:type="dcterms:W3CDTF">2025-12-25T14:05:44Z</dcterms:modified>
  <dc:title>武钢新3号高炉铜冷却壁招标书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2025-12-03T15:49:24Z</vt:filetime>
  </property>
  <property fmtid="{D5CDD505-2E9C-101B-9397-08002B2CF9AE}" pid="4" name="KSOProductBuildVer">
    <vt:lpwstr>2052-12.1.0.23542</vt:lpwstr>
  </property>
  <property fmtid="{D5CDD505-2E9C-101B-9397-08002B2CF9AE}" pid="5" name="ICV">
    <vt:lpwstr>2D88B71E5CD34703AC6FF2EBA60EB731_13</vt:lpwstr>
  </property>
  <property fmtid="{D5CDD505-2E9C-101B-9397-08002B2CF9AE}" pid="6" name="KSOTemplateDocerSaveRecord">
    <vt:lpwstr>eyJoZGlkIjoiNTZjYjk1NmQ1MzRjNzRhMDc3Y2NkMmUwZjU1NGNmMGUiLCJ1c2VySWQiOiIxNDg5MzA3ODY4In0=</vt:lpwstr>
  </property>
</Properties>
</file>